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44563" w14:textId="2EB624D9" w:rsidR="006450FB" w:rsidRPr="006450FB" w:rsidRDefault="006450FB" w:rsidP="006450FB">
      <w:pPr>
        <w:pStyle w:val="ArticleReviewTitleLR"/>
        <w:jc w:val="left"/>
        <w:rPr>
          <w:rFonts w:asciiTheme="minorHAnsi" w:hAnsiTheme="minorHAnsi" w:cstheme="minorHAnsi"/>
          <w:i w:val="0"/>
          <w:iCs/>
          <w:sz w:val="28"/>
          <w:szCs w:val="28"/>
        </w:rPr>
      </w:pPr>
      <w:r w:rsidRPr="006450FB">
        <w:rPr>
          <w:rFonts w:asciiTheme="minorHAnsi" w:hAnsiTheme="minorHAnsi" w:cstheme="minorHAnsi"/>
          <w:i w:val="0"/>
          <w:iCs/>
          <w:sz w:val="28"/>
          <w:szCs w:val="28"/>
        </w:rPr>
        <w:t>Prepared for Competition Law and Policy Institute of New Zealand, 16/17 August 2024, based on “</w:t>
      </w:r>
      <w:r w:rsidRPr="006450FB">
        <w:rPr>
          <w:rFonts w:asciiTheme="minorHAnsi" w:hAnsiTheme="minorHAnsi" w:cstheme="minorHAnsi"/>
          <w:sz w:val="28"/>
          <w:szCs w:val="28"/>
        </w:rPr>
        <w:t>The Queen is Dead: Time to Bury the Crown Exception</w:t>
      </w:r>
      <w:r>
        <w:rPr>
          <w:rFonts w:asciiTheme="minorHAnsi" w:hAnsiTheme="minorHAnsi" w:cstheme="minorHAnsi"/>
          <w:sz w:val="28"/>
          <w:szCs w:val="28"/>
        </w:rPr>
        <w:t xml:space="preserve">” </w:t>
      </w:r>
      <w:r w:rsidRPr="006450FB">
        <w:rPr>
          <w:rFonts w:asciiTheme="minorHAnsi" w:hAnsiTheme="minorHAnsi" w:cstheme="minorHAnsi"/>
          <w:i w:val="0"/>
          <w:iCs/>
          <w:sz w:val="28"/>
          <w:szCs w:val="28"/>
        </w:rPr>
        <w:t xml:space="preserve">published </w:t>
      </w:r>
      <w:r>
        <w:rPr>
          <w:rFonts w:asciiTheme="minorHAnsi" w:hAnsiTheme="minorHAnsi" w:cstheme="minorHAnsi"/>
          <w:i w:val="0"/>
          <w:iCs/>
          <w:sz w:val="28"/>
          <w:szCs w:val="28"/>
        </w:rPr>
        <w:t xml:space="preserve">at </w:t>
      </w:r>
      <w:r w:rsidRPr="006450FB">
        <w:rPr>
          <w:rFonts w:asciiTheme="minorHAnsi" w:hAnsiTheme="minorHAnsi" w:cstheme="minorHAnsi"/>
          <w:i w:val="0"/>
          <w:iCs/>
          <w:sz w:val="28"/>
          <w:szCs w:val="28"/>
        </w:rPr>
        <w:t>[2023] New Zealand Law Review</w:t>
      </w:r>
      <w:r w:rsidR="00535B46">
        <w:rPr>
          <w:rFonts w:asciiTheme="minorHAnsi" w:hAnsiTheme="minorHAnsi" w:cstheme="minorHAnsi"/>
          <w:i w:val="0"/>
          <w:iCs/>
          <w:sz w:val="28"/>
          <w:szCs w:val="28"/>
        </w:rPr>
        <w:t>, Volume 2, p</w:t>
      </w:r>
      <w:r w:rsidRPr="006450FB">
        <w:rPr>
          <w:rFonts w:asciiTheme="minorHAnsi" w:hAnsiTheme="minorHAnsi" w:cstheme="minorHAnsi"/>
          <w:i w:val="0"/>
          <w:iCs/>
          <w:sz w:val="28"/>
          <w:szCs w:val="28"/>
        </w:rPr>
        <w:t>225</w:t>
      </w:r>
      <w:r>
        <w:rPr>
          <w:rFonts w:asciiTheme="minorHAnsi" w:hAnsiTheme="minorHAnsi" w:cstheme="minorHAnsi"/>
          <w:i w:val="0"/>
          <w:iCs/>
          <w:sz w:val="28"/>
          <w:szCs w:val="28"/>
        </w:rPr>
        <w:t>.</w:t>
      </w:r>
    </w:p>
    <w:p w14:paraId="06E08301" w14:textId="3DCEF546" w:rsidR="00A06368" w:rsidRPr="006450FB" w:rsidRDefault="006450FB" w:rsidP="006450FB">
      <w:pPr>
        <w:pStyle w:val="ArticleReviewTitleLR"/>
        <w:rPr>
          <w:rFonts w:asciiTheme="minorHAnsi" w:hAnsiTheme="minorHAnsi" w:cstheme="minorHAnsi"/>
        </w:rPr>
      </w:pPr>
      <w:r>
        <w:rPr>
          <w:rFonts w:asciiTheme="minorHAnsi" w:hAnsiTheme="minorHAnsi" w:cstheme="minorHAnsi"/>
        </w:rPr>
        <w:t xml:space="preserve"> </w:t>
      </w:r>
    </w:p>
    <w:p w14:paraId="655477D4" w14:textId="4742996E" w:rsidR="00DF26AA" w:rsidRPr="006450FB" w:rsidRDefault="006450FB" w:rsidP="00A21C4B">
      <w:pPr>
        <w:pStyle w:val="ArticleReviewTitleLR"/>
        <w:rPr>
          <w:rFonts w:asciiTheme="minorHAnsi" w:hAnsiTheme="minorHAnsi" w:cstheme="minorHAnsi"/>
        </w:rPr>
      </w:pPr>
      <w:r>
        <w:rPr>
          <w:rFonts w:asciiTheme="minorHAnsi" w:hAnsiTheme="minorHAnsi" w:cstheme="minorHAnsi"/>
        </w:rPr>
        <w:t>Wellington, we have a problem</w:t>
      </w:r>
      <w:r w:rsidR="002B79F2" w:rsidRPr="006450FB">
        <w:rPr>
          <w:rFonts w:asciiTheme="minorHAnsi" w:hAnsiTheme="minorHAnsi" w:cstheme="minorHAnsi"/>
        </w:rPr>
        <w:t xml:space="preserve">: </w:t>
      </w:r>
      <w:r w:rsidR="002B79F2" w:rsidRPr="006450FB">
        <w:rPr>
          <w:rFonts w:asciiTheme="minorHAnsi" w:hAnsiTheme="minorHAnsi" w:cstheme="minorHAnsi"/>
        </w:rPr>
        <w:br/>
      </w:r>
      <w:r w:rsidRPr="006450FB">
        <w:rPr>
          <w:rFonts w:asciiTheme="minorHAnsi" w:hAnsiTheme="minorHAnsi" w:cstheme="minorHAnsi"/>
        </w:rPr>
        <w:t xml:space="preserve">Application </w:t>
      </w:r>
      <w:r w:rsidR="007A40C5">
        <w:rPr>
          <w:rFonts w:asciiTheme="minorHAnsi" w:hAnsiTheme="minorHAnsi" w:cstheme="minorHAnsi"/>
        </w:rPr>
        <w:t>of</w:t>
      </w:r>
      <w:r w:rsidRPr="006450FB">
        <w:rPr>
          <w:rFonts w:asciiTheme="minorHAnsi" w:hAnsiTheme="minorHAnsi" w:cstheme="minorHAnsi"/>
        </w:rPr>
        <w:t xml:space="preserve"> Competition Law to the </w:t>
      </w:r>
      <w:r w:rsidR="002D1E14">
        <w:rPr>
          <w:rFonts w:asciiTheme="minorHAnsi" w:hAnsiTheme="minorHAnsi" w:cstheme="minorHAnsi"/>
        </w:rPr>
        <w:t>Public Sector</w:t>
      </w:r>
      <w:r w:rsidR="007A40C5">
        <w:rPr>
          <w:rFonts w:asciiTheme="minorHAnsi" w:hAnsiTheme="minorHAnsi" w:cstheme="minorHAnsi"/>
        </w:rPr>
        <w:t xml:space="preserve"> in the 21</w:t>
      </w:r>
      <w:r w:rsidR="007A40C5" w:rsidRPr="007A40C5">
        <w:rPr>
          <w:rFonts w:asciiTheme="minorHAnsi" w:hAnsiTheme="minorHAnsi" w:cstheme="minorHAnsi"/>
          <w:vertAlign w:val="superscript"/>
        </w:rPr>
        <w:t>st</w:t>
      </w:r>
      <w:r w:rsidR="007A40C5">
        <w:rPr>
          <w:rFonts w:asciiTheme="minorHAnsi" w:hAnsiTheme="minorHAnsi" w:cstheme="minorHAnsi"/>
        </w:rPr>
        <w:t xml:space="preserve"> Century</w:t>
      </w:r>
    </w:p>
    <w:p w14:paraId="48B633DB" w14:textId="1F7D58BC" w:rsidR="00DF26AA" w:rsidRPr="006450FB" w:rsidRDefault="00DF26AA" w:rsidP="00A21C4B">
      <w:pPr>
        <w:pStyle w:val="AuthorLR"/>
        <w:rPr>
          <w:rFonts w:asciiTheme="minorHAnsi" w:hAnsiTheme="minorHAnsi" w:cstheme="minorHAnsi"/>
        </w:rPr>
      </w:pPr>
      <w:r w:rsidRPr="006450FB">
        <w:rPr>
          <w:rFonts w:asciiTheme="minorHAnsi" w:hAnsiTheme="minorHAnsi" w:cstheme="minorHAnsi"/>
        </w:rPr>
        <w:t>Ben Hamlin</w:t>
      </w:r>
      <w:r w:rsidRPr="006450FB">
        <w:rPr>
          <w:rStyle w:val="FootnoteReference"/>
          <w:rFonts w:asciiTheme="minorHAnsi" w:hAnsiTheme="minorHAnsi" w:cstheme="minorHAnsi"/>
        </w:rPr>
        <w:footnoteReference w:customMarkFollows="1" w:id="1"/>
        <w:t>*</w:t>
      </w:r>
    </w:p>
    <w:p w14:paraId="6D53CB4C" w14:textId="37C88287" w:rsidR="00DF26AA" w:rsidRPr="006450FB" w:rsidRDefault="00DF26AA" w:rsidP="00A21C4B">
      <w:pPr>
        <w:pStyle w:val="AbstractLR"/>
        <w:rPr>
          <w:rFonts w:asciiTheme="minorHAnsi" w:hAnsiTheme="minorHAnsi" w:cstheme="minorHAnsi"/>
        </w:rPr>
      </w:pPr>
      <w:r w:rsidRPr="006450FB">
        <w:rPr>
          <w:rFonts w:asciiTheme="minorHAnsi" w:hAnsiTheme="minorHAnsi" w:cstheme="minorHAnsi"/>
        </w:rPr>
        <w:t xml:space="preserve">The provisions that apply the Commerce Act </w:t>
      </w:r>
      <w:r w:rsidR="009B20C1" w:rsidRPr="006450FB">
        <w:rPr>
          <w:rFonts w:asciiTheme="minorHAnsi" w:hAnsiTheme="minorHAnsi" w:cstheme="minorHAnsi"/>
        </w:rPr>
        <w:t xml:space="preserve">1986 </w:t>
      </w:r>
      <w:r w:rsidRPr="006450FB">
        <w:rPr>
          <w:rFonts w:asciiTheme="minorHAnsi" w:hAnsiTheme="minorHAnsi" w:cstheme="minorHAnsi"/>
        </w:rPr>
        <w:t>to the Crown are outdated, and do not reflect changes over the past nearly forty years, including reforms of the public sector</w:t>
      </w:r>
      <w:r w:rsidR="006E10E9" w:rsidRPr="006450FB">
        <w:rPr>
          <w:rFonts w:asciiTheme="minorHAnsi" w:hAnsiTheme="minorHAnsi" w:cstheme="minorHAnsi"/>
        </w:rPr>
        <w:t>’</w:t>
      </w:r>
      <w:r w:rsidRPr="006450FB">
        <w:rPr>
          <w:rFonts w:asciiTheme="minorHAnsi" w:hAnsiTheme="minorHAnsi" w:cstheme="minorHAnsi"/>
        </w:rPr>
        <w:t>s structure and scope. Any revision will require the drawing of new lines as to where competition law should apply in full. This article suggests that public bodies should only be able to limit competition where expressly authorised by Parliament, it is reasonably necessary to achieve some public purpose or it is permitted by a Commerce Commission authorisation.</w:t>
      </w:r>
    </w:p>
    <w:p w14:paraId="7C71C14D" w14:textId="0B31F905" w:rsidR="00C06911" w:rsidRDefault="00C06911" w:rsidP="00A21C4B">
      <w:pPr>
        <w:pStyle w:val="Heading1LR"/>
        <w:rPr>
          <w:rFonts w:asciiTheme="minorHAnsi" w:hAnsiTheme="minorHAnsi" w:cstheme="minorHAnsi"/>
        </w:rPr>
      </w:pPr>
      <w:r>
        <w:rPr>
          <w:rFonts w:asciiTheme="minorHAnsi" w:hAnsiTheme="minorHAnsi" w:cstheme="minorHAnsi"/>
        </w:rPr>
        <w:t>Foreword</w:t>
      </w:r>
    </w:p>
    <w:p w14:paraId="6AA96442" w14:textId="11ED6C3A" w:rsidR="00AB0EEF" w:rsidRDefault="006C7084" w:rsidP="00102B1F">
      <w:pPr>
        <w:pStyle w:val="TextnoindentLR"/>
        <w:rPr>
          <w:rFonts w:asciiTheme="minorHAnsi" w:hAnsiTheme="minorHAnsi" w:cstheme="minorHAnsi"/>
        </w:rPr>
      </w:pPr>
      <w:r w:rsidRPr="00102B1F">
        <w:rPr>
          <w:rFonts w:asciiTheme="minorHAnsi" w:hAnsiTheme="minorHAnsi" w:cstheme="minorHAnsi"/>
        </w:rPr>
        <w:t>One</w:t>
      </w:r>
      <w:r w:rsidRPr="00AB0EEF">
        <w:rPr>
          <w:rFonts w:asciiTheme="minorHAnsi" w:hAnsiTheme="minorHAnsi" w:cstheme="minorHAnsi"/>
        </w:rPr>
        <w:t xml:space="preserve"> </w:t>
      </w:r>
      <w:r w:rsidRPr="00102B1F">
        <w:rPr>
          <w:rFonts w:asciiTheme="minorHAnsi" w:hAnsiTheme="minorHAnsi" w:cstheme="minorHAnsi"/>
        </w:rPr>
        <w:t>of the most interesting papers I have recently read was Cass Sunstein’s “Economic Constitution of the United States”.</w:t>
      </w:r>
      <w:r w:rsidRPr="00102B1F">
        <w:rPr>
          <w:rStyle w:val="FootnoteReference"/>
          <w:sz w:val="24"/>
          <w:szCs w:val="24"/>
        </w:rPr>
        <w:footnoteReference w:id="2"/>
      </w:r>
      <w:r w:rsidRPr="00102B1F">
        <w:rPr>
          <w:rFonts w:asciiTheme="minorHAnsi" w:hAnsiTheme="minorHAnsi" w:cstheme="minorHAnsi"/>
        </w:rPr>
        <w:t xml:space="preserve"> </w:t>
      </w:r>
      <w:r w:rsidR="00AB0EEF">
        <w:rPr>
          <w:rFonts w:asciiTheme="minorHAnsi" w:hAnsiTheme="minorHAnsi" w:cstheme="minorHAnsi"/>
        </w:rPr>
        <w:t>I</w:t>
      </w:r>
      <w:r w:rsidR="00E75C9A">
        <w:rPr>
          <w:rFonts w:asciiTheme="minorHAnsi" w:hAnsiTheme="minorHAnsi" w:cstheme="minorHAnsi"/>
        </w:rPr>
        <w:t>t got me thinking about our unwritten economic const</w:t>
      </w:r>
      <w:r w:rsidR="003D3E1B">
        <w:rPr>
          <w:rFonts w:asciiTheme="minorHAnsi" w:hAnsiTheme="minorHAnsi" w:cstheme="minorHAnsi"/>
        </w:rPr>
        <w:t>it</w:t>
      </w:r>
      <w:r w:rsidR="00E75C9A">
        <w:rPr>
          <w:rFonts w:asciiTheme="minorHAnsi" w:hAnsiTheme="minorHAnsi" w:cstheme="minorHAnsi"/>
        </w:rPr>
        <w:t xml:space="preserve">ution, and how we might identify the parts of it. </w:t>
      </w:r>
      <w:r w:rsidR="00EE22D4">
        <w:rPr>
          <w:rFonts w:asciiTheme="minorHAnsi" w:hAnsiTheme="minorHAnsi" w:cstheme="minorHAnsi"/>
        </w:rPr>
        <w:t xml:space="preserve">When one reached the </w:t>
      </w:r>
      <w:r w:rsidR="00594136">
        <w:rPr>
          <w:rFonts w:asciiTheme="minorHAnsi" w:hAnsiTheme="minorHAnsi" w:cstheme="minorHAnsi"/>
        </w:rPr>
        <w:t xml:space="preserve">unwritten </w:t>
      </w:r>
      <w:r w:rsidR="00EE22D4">
        <w:rPr>
          <w:rFonts w:asciiTheme="minorHAnsi" w:hAnsiTheme="minorHAnsi" w:cstheme="minorHAnsi"/>
        </w:rPr>
        <w:t>“</w:t>
      </w:r>
      <w:r w:rsidR="00594136">
        <w:rPr>
          <w:rFonts w:asciiTheme="minorHAnsi" w:hAnsiTheme="minorHAnsi" w:cstheme="minorHAnsi"/>
        </w:rPr>
        <w:t>c</w:t>
      </w:r>
      <w:r w:rsidR="00EE22D4">
        <w:rPr>
          <w:rFonts w:asciiTheme="minorHAnsi" w:hAnsiTheme="minorHAnsi" w:cstheme="minorHAnsi"/>
        </w:rPr>
        <w:t xml:space="preserve">ompetition” </w:t>
      </w:r>
      <w:r w:rsidR="00594136">
        <w:rPr>
          <w:rFonts w:asciiTheme="minorHAnsi" w:hAnsiTheme="minorHAnsi" w:cstheme="minorHAnsi"/>
        </w:rPr>
        <w:t>heading</w:t>
      </w:r>
      <w:r w:rsidR="00EE22D4">
        <w:rPr>
          <w:rFonts w:asciiTheme="minorHAnsi" w:hAnsiTheme="minorHAnsi" w:cstheme="minorHAnsi"/>
        </w:rPr>
        <w:t xml:space="preserve">, </w:t>
      </w:r>
      <w:r w:rsidR="00594136">
        <w:rPr>
          <w:rFonts w:asciiTheme="minorHAnsi" w:hAnsiTheme="minorHAnsi" w:cstheme="minorHAnsi"/>
        </w:rPr>
        <w:t xml:space="preserve">what would be there? </w:t>
      </w:r>
      <w:r w:rsidR="00CB142C">
        <w:rPr>
          <w:rFonts w:asciiTheme="minorHAnsi" w:hAnsiTheme="minorHAnsi" w:cstheme="minorHAnsi"/>
        </w:rPr>
        <w:t xml:space="preserve">How would our </w:t>
      </w:r>
      <w:r w:rsidR="003D3E1B">
        <w:rPr>
          <w:rFonts w:asciiTheme="minorHAnsi" w:hAnsiTheme="minorHAnsi" w:cstheme="minorHAnsi"/>
        </w:rPr>
        <w:t xml:space="preserve">economic </w:t>
      </w:r>
      <w:r w:rsidR="00ED2BCA">
        <w:rPr>
          <w:rFonts w:asciiTheme="minorHAnsi" w:hAnsiTheme="minorHAnsi" w:cstheme="minorHAnsi"/>
        </w:rPr>
        <w:t xml:space="preserve">constitution </w:t>
      </w:r>
      <w:r w:rsidR="00CB142C">
        <w:rPr>
          <w:rFonts w:asciiTheme="minorHAnsi" w:hAnsiTheme="minorHAnsi" w:cstheme="minorHAnsi"/>
        </w:rPr>
        <w:t>protect consumers from</w:t>
      </w:r>
      <w:r w:rsidR="00ED2BCA">
        <w:rPr>
          <w:rFonts w:asciiTheme="minorHAnsi" w:hAnsiTheme="minorHAnsi" w:cstheme="minorHAnsi"/>
        </w:rPr>
        <w:t xml:space="preserve"> </w:t>
      </w:r>
      <w:r w:rsidR="00D1372B">
        <w:rPr>
          <w:rFonts w:asciiTheme="minorHAnsi" w:hAnsiTheme="minorHAnsi" w:cstheme="minorHAnsi"/>
        </w:rPr>
        <w:t xml:space="preserve">the power of </w:t>
      </w:r>
      <w:r w:rsidR="00CB142C">
        <w:rPr>
          <w:rFonts w:asciiTheme="minorHAnsi" w:hAnsiTheme="minorHAnsi" w:cstheme="minorHAnsi"/>
        </w:rPr>
        <w:t>N</w:t>
      </w:r>
      <w:r w:rsidR="00F717E9">
        <w:rPr>
          <w:rFonts w:asciiTheme="minorHAnsi" w:hAnsiTheme="minorHAnsi" w:cstheme="minorHAnsi"/>
        </w:rPr>
        <w:t>ew Zealand’s biggest monopoly</w:t>
      </w:r>
      <w:r w:rsidR="0084226D">
        <w:rPr>
          <w:rFonts w:asciiTheme="minorHAnsi" w:hAnsiTheme="minorHAnsi" w:cstheme="minorHAnsi"/>
        </w:rPr>
        <w:t xml:space="preserve"> – one whose annual revenue </w:t>
      </w:r>
      <w:r w:rsidR="0050470A">
        <w:rPr>
          <w:rFonts w:asciiTheme="minorHAnsi" w:hAnsiTheme="minorHAnsi" w:cstheme="minorHAnsi"/>
        </w:rPr>
        <w:t xml:space="preserve">is seven times greater than </w:t>
      </w:r>
      <w:r w:rsidR="00D1372B">
        <w:rPr>
          <w:rFonts w:asciiTheme="minorHAnsi" w:hAnsiTheme="minorHAnsi" w:cstheme="minorHAnsi"/>
        </w:rPr>
        <w:t>Fonterra – our Government</w:t>
      </w:r>
      <w:r w:rsidR="0050470A">
        <w:rPr>
          <w:rFonts w:asciiTheme="minorHAnsi" w:hAnsiTheme="minorHAnsi" w:cstheme="minorHAnsi"/>
        </w:rPr>
        <w:t>?</w:t>
      </w:r>
    </w:p>
    <w:p w14:paraId="47AFEFD5" w14:textId="122F26A4" w:rsidR="006C7084" w:rsidRDefault="00AB0EEF" w:rsidP="00AB0EEF">
      <w:pPr>
        <w:pStyle w:val="TextindentedLR"/>
        <w:rPr>
          <w:rFonts w:asciiTheme="minorHAnsi" w:hAnsiTheme="minorHAnsi" w:cstheme="minorHAnsi"/>
        </w:rPr>
      </w:pPr>
      <w:r>
        <w:rPr>
          <w:rFonts w:asciiTheme="minorHAnsi" w:hAnsiTheme="minorHAnsi" w:cstheme="minorHAnsi"/>
        </w:rPr>
        <w:t xml:space="preserve">Sunstein </w:t>
      </w:r>
      <w:r w:rsidR="006C7084" w:rsidRPr="00102B1F">
        <w:rPr>
          <w:rFonts w:asciiTheme="minorHAnsi" w:hAnsiTheme="minorHAnsi" w:cstheme="minorHAnsi"/>
        </w:rPr>
        <w:t>set</w:t>
      </w:r>
      <w:r w:rsidR="00DE3F4D" w:rsidRPr="00102B1F">
        <w:rPr>
          <w:rFonts w:asciiTheme="minorHAnsi" w:hAnsiTheme="minorHAnsi" w:cstheme="minorHAnsi"/>
        </w:rPr>
        <w:t>s out a</w:t>
      </w:r>
      <w:r w:rsidR="00641ECC" w:rsidRPr="00102B1F">
        <w:rPr>
          <w:rFonts w:asciiTheme="minorHAnsi" w:hAnsiTheme="minorHAnsi" w:cstheme="minorHAnsi"/>
        </w:rPr>
        <w:t>n</w:t>
      </w:r>
      <w:r w:rsidR="00DE3F4D" w:rsidRPr="00102B1F">
        <w:rPr>
          <w:rFonts w:asciiTheme="minorHAnsi" w:hAnsiTheme="minorHAnsi" w:cstheme="minorHAnsi"/>
        </w:rPr>
        <w:t xml:space="preserve"> interesting discussion of the </w:t>
      </w:r>
      <w:r w:rsidR="00CD33C5" w:rsidRPr="00102B1F">
        <w:rPr>
          <w:rFonts w:asciiTheme="minorHAnsi" w:hAnsiTheme="minorHAnsi" w:cstheme="minorHAnsi"/>
        </w:rPr>
        <w:t xml:space="preserve">Executive Order 12291, which provides a foundation for </w:t>
      </w:r>
      <w:r w:rsidR="00E33D80">
        <w:rPr>
          <w:rFonts w:asciiTheme="minorHAnsi" w:hAnsiTheme="minorHAnsi" w:cstheme="minorHAnsi"/>
        </w:rPr>
        <w:t xml:space="preserve">regulatory impact analysis - </w:t>
      </w:r>
      <w:r w:rsidR="00CD33C5" w:rsidRPr="00102B1F">
        <w:rPr>
          <w:rFonts w:asciiTheme="minorHAnsi" w:hAnsiTheme="minorHAnsi" w:cstheme="minorHAnsi"/>
        </w:rPr>
        <w:t>cost</w:t>
      </w:r>
      <w:r w:rsidR="00E33D80">
        <w:rPr>
          <w:rFonts w:asciiTheme="minorHAnsi" w:hAnsiTheme="minorHAnsi" w:cstheme="minorHAnsi"/>
        </w:rPr>
        <w:t>-</w:t>
      </w:r>
      <w:r w:rsidR="00CD33C5" w:rsidRPr="00102B1F">
        <w:rPr>
          <w:rFonts w:asciiTheme="minorHAnsi" w:hAnsiTheme="minorHAnsi" w:cstheme="minorHAnsi"/>
        </w:rPr>
        <w:t xml:space="preserve">benefit analysis </w:t>
      </w:r>
      <w:r w:rsidR="00641ECC" w:rsidRPr="00102B1F">
        <w:rPr>
          <w:rFonts w:asciiTheme="minorHAnsi" w:hAnsiTheme="minorHAnsi" w:cstheme="minorHAnsi"/>
        </w:rPr>
        <w:t xml:space="preserve">of </w:t>
      </w:r>
      <w:r w:rsidR="00E33D80">
        <w:rPr>
          <w:rFonts w:asciiTheme="minorHAnsi" w:hAnsiTheme="minorHAnsi" w:cstheme="minorHAnsi"/>
        </w:rPr>
        <w:t xml:space="preserve">proposed </w:t>
      </w:r>
      <w:r w:rsidR="00CD33C5" w:rsidRPr="00102B1F">
        <w:rPr>
          <w:rFonts w:asciiTheme="minorHAnsi" w:hAnsiTheme="minorHAnsi" w:cstheme="minorHAnsi"/>
        </w:rPr>
        <w:t>regulat</w:t>
      </w:r>
      <w:r w:rsidR="006A1C86" w:rsidRPr="00102B1F">
        <w:rPr>
          <w:rFonts w:asciiTheme="minorHAnsi" w:hAnsiTheme="minorHAnsi" w:cstheme="minorHAnsi"/>
        </w:rPr>
        <w:t>ion</w:t>
      </w:r>
      <w:r w:rsidR="006C7084" w:rsidRPr="00102B1F">
        <w:rPr>
          <w:rFonts w:asciiTheme="minorHAnsi" w:hAnsiTheme="minorHAnsi" w:cstheme="minorHAnsi"/>
        </w:rPr>
        <w:t xml:space="preserve"> </w:t>
      </w:r>
      <w:r w:rsidR="00E33D80">
        <w:rPr>
          <w:rFonts w:asciiTheme="minorHAnsi" w:hAnsiTheme="minorHAnsi" w:cstheme="minorHAnsi"/>
        </w:rPr>
        <w:t xml:space="preserve">- </w:t>
      </w:r>
      <w:r w:rsidR="00641ECC" w:rsidRPr="00102B1F">
        <w:rPr>
          <w:rFonts w:asciiTheme="minorHAnsi" w:hAnsiTheme="minorHAnsi" w:cstheme="minorHAnsi"/>
        </w:rPr>
        <w:t>that stretches from Reagan to Biden</w:t>
      </w:r>
      <w:r w:rsidR="003E2488" w:rsidRPr="00102B1F">
        <w:rPr>
          <w:rFonts w:asciiTheme="minorHAnsi" w:hAnsiTheme="minorHAnsi" w:cstheme="minorHAnsi"/>
        </w:rPr>
        <w:t>.</w:t>
      </w:r>
      <w:r w:rsidR="00102B1F" w:rsidRPr="00102B1F">
        <w:rPr>
          <w:rFonts w:asciiTheme="minorHAnsi" w:hAnsiTheme="minorHAnsi" w:cstheme="minorHAnsi"/>
        </w:rPr>
        <w:t xml:space="preserve"> </w:t>
      </w:r>
      <w:r w:rsidR="00D1372B">
        <w:rPr>
          <w:rFonts w:asciiTheme="minorHAnsi" w:hAnsiTheme="minorHAnsi" w:cstheme="minorHAnsi"/>
        </w:rPr>
        <w:t xml:space="preserve"> </w:t>
      </w:r>
      <w:r w:rsidR="009D08CF">
        <w:rPr>
          <w:rFonts w:asciiTheme="minorHAnsi" w:hAnsiTheme="minorHAnsi" w:cstheme="minorHAnsi"/>
        </w:rPr>
        <w:t>At its core</w:t>
      </w:r>
      <w:r w:rsidR="00374FE4">
        <w:rPr>
          <w:rFonts w:asciiTheme="minorHAnsi" w:hAnsiTheme="minorHAnsi" w:cstheme="minorHAnsi"/>
        </w:rPr>
        <w:t xml:space="preserve"> is the principle</w:t>
      </w:r>
      <w:r w:rsidR="005476D1">
        <w:rPr>
          <w:rFonts w:asciiTheme="minorHAnsi" w:hAnsiTheme="minorHAnsi" w:cstheme="minorHAnsi"/>
        </w:rPr>
        <w:t xml:space="preserve"> </w:t>
      </w:r>
      <w:r w:rsidR="009C4072">
        <w:rPr>
          <w:rFonts w:asciiTheme="minorHAnsi" w:hAnsiTheme="minorHAnsi" w:cstheme="minorHAnsi"/>
        </w:rPr>
        <w:t xml:space="preserve">- </w:t>
      </w:r>
      <w:r w:rsidR="005476D1">
        <w:rPr>
          <w:rFonts w:asciiTheme="minorHAnsi" w:hAnsiTheme="minorHAnsi" w:cstheme="minorHAnsi"/>
        </w:rPr>
        <w:t xml:space="preserve">Sunstein calls it the </w:t>
      </w:r>
      <w:r w:rsidR="009C4072">
        <w:rPr>
          <w:rFonts w:asciiTheme="minorHAnsi" w:hAnsiTheme="minorHAnsi" w:cstheme="minorHAnsi"/>
        </w:rPr>
        <w:t>“</w:t>
      </w:r>
      <w:r w:rsidR="009C4072" w:rsidRPr="009C4072">
        <w:rPr>
          <w:rFonts w:asciiTheme="minorHAnsi" w:hAnsiTheme="minorHAnsi" w:cstheme="minorHAnsi"/>
        </w:rPr>
        <w:t>Reagan-Bush-Clinton-Bush-Obama-Trump</w:t>
      </w:r>
      <w:r w:rsidR="009C4072">
        <w:rPr>
          <w:rFonts w:asciiTheme="minorHAnsi" w:hAnsiTheme="minorHAnsi" w:cstheme="minorHAnsi"/>
        </w:rPr>
        <w:t>-</w:t>
      </w:r>
      <w:r w:rsidR="009C4072" w:rsidRPr="009C4072">
        <w:rPr>
          <w:rFonts w:asciiTheme="minorHAnsi" w:hAnsiTheme="minorHAnsi" w:cstheme="minorHAnsi"/>
        </w:rPr>
        <w:t>Biden consensus</w:t>
      </w:r>
      <w:r w:rsidR="005476D1">
        <w:rPr>
          <w:rFonts w:asciiTheme="minorHAnsi" w:hAnsiTheme="minorHAnsi" w:cstheme="minorHAnsi"/>
        </w:rPr>
        <w:t>“</w:t>
      </w:r>
      <w:r w:rsidR="00374FE4">
        <w:rPr>
          <w:rFonts w:asciiTheme="minorHAnsi" w:hAnsiTheme="minorHAnsi" w:cstheme="minorHAnsi"/>
        </w:rPr>
        <w:t xml:space="preserve"> </w:t>
      </w:r>
      <w:r w:rsidR="009C4072">
        <w:rPr>
          <w:rFonts w:asciiTheme="minorHAnsi" w:hAnsiTheme="minorHAnsi" w:cstheme="minorHAnsi"/>
        </w:rPr>
        <w:t xml:space="preserve">- </w:t>
      </w:r>
      <w:r w:rsidR="00374FE4">
        <w:rPr>
          <w:rFonts w:asciiTheme="minorHAnsi" w:hAnsiTheme="minorHAnsi" w:cstheme="minorHAnsi"/>
        </w:rPr>
        <w:t xml:space="preserve">that </w:t>
      </w:r>
      <w:r w:rsidR="00642106">
        <w:rPr>
          <w:rFonts w:asciiTheme="minorHAnsi" w:hAnsiTheme="minorHAnsi" w:cstheme="minorHAnsi"/>
        </w:rPr>
        <w:t xml:space="preserve">government should promote </w:t>
      </w:r>
      <w:r w:rsidR="003B6716">
        <w:rPr>
          <w:rFonts w:asciiTheme="minorHAnsi" w:hAnsiTheme="minorHAnsi" w:cstheme="minorHAnsi"/>
        </w:rPr>
        <w:t xml:space="preserve">human welfare, and that accounting the costs and benefits of government action </w:t>
      </w:r>
      <w:r w:rsidR="0041476F">
        <w:rPr>
          <w:rFonts w:asciiTheme="minorHAnsi" w:hAnsiTheme="minorHAnsi" w:cstheme="minorHAnsi"/>
        </w:rPr>
        <w:t>is one way of making this more likely.</w:t>
      </w:r>
    </w:p>
    <w:p w14:paraId="34B10687" w14:textId="5F9EC5E7" w:rsidR="00B02C50" w:rsidRDefault="0041476F" w:rsidP="00793B44">
      <w:pPr>
        <w:pStyle w:val="TextindentedLR"/>
        <w:rPr>
          <w:rFonts w:asciiTheme="minorHAnsi" w:hAnsiTheme="minorHAnsi" w:cstheme="minorHAnsi"/>
        </w:rPr>
      </w:pPr>
      <w:r w:rsidRPr="00AB5774">
        <w:rPr>
          <w:rFonts w:asciiTheme="minorHAnsi" w:hAnsiTheme="minorHAnsi" w:cstheme="minorHAnsi"/>
        </w:rPr>
        <w:t>It is</w:t>
      </w:r>
      <w:r w:rsidR="00A379EB" w:rsidRPr="00AB5774">
        <w:rPr>
          <w:rFonts w:asciiTheme="minorHAnsi" w:hAnsiTheme="minorHAnsi" w:cstheme="minorHAnsi"/>
        </w:rPr>
        <w:t xml:space="preserve"> a noble </w:t>
      </w:r>
      <w:r w:rsidR="000C533C" w:rsidRPr="00AB5774">
        <w:rPr>
          <w:rFonts w:asciiTheme="minorHAnsi" w:hAnsiTheme="minorHAnsi" w:cstheme="minorHAnsi"/>
        </w:rPr>
        <w:t xml:space="preserve">approach, and has much to </w:t>
      </w:r>
      <w:r w:rsidR="006644B7" w:rsidRPr="00AB5774">
        <w:rPr>
          <w:rFonts w:asciiTheme="minorHAnsi" w:hAnsiTheme="minorHAnsi" w:cstheme="minorHAnsi"/>
        </w:rPr>
        <w:t>commend it.</w:t>
      </w:r>
      <w:r w:rsidR="00473104" w:rsidRPr="00AB5774">
        <w:rPr>
          <w:rFonts w:asciiTheme="minorHAnsi" w:hAnsiTheme="minorHAnsi" w:cstheme="minorHAnsi"/>
        </w:rPr>
        <w:t xml:space="preserve"> </w:t>
      </w:r>
      <w:r w:rsidR="000348ED" w:rsidRPr="00AB5774">
        <w:rPr>
          <w:rFonts w:asciiTheme="minorHAnsi" w:hAnsiTheme="minorHAnsi" w:cstheme="minorHAnsi"/>
        </w:rPr>
        <w:t>I</w:t>
      </w:r>
      <w:r w:rsidR="00C0585C" w:rsidRPr="00AB5774">
        <w:rPr>
          <w:rFonts w:asciiTheme="minorHAnsi" w:hAnsiTheme="minorHAnsi" w:cstheme="minorHAnsi"/>
        </w:rPr>
        <w:t xml:space="preserve">n New Zealand </w:t>
      </w:r>
      <w:r w:rsidR="000348ED" w:rsidRPr="00AB5774">
        <w:rPr>
          <w:rFonts w:asciiTheme="minorHAnsi" w:hAnsiTheme="minorHAnsi" w:cstheme="minorHAnsi"/>
        </w:rPr>
        <w:t>the production of a</w:t>
      </w:r>
      <w:r w:rsidR="00473104" w:rsidRPr="00AB5774">
        <w:rPr>
          <w:rFonts w:asciiTheme="minorHAnsi" w:hAnsiTheme="minorHAnsi" w:cstheme="minorHAnsi"/>
        </w:rPr>
        <w:t xml:space="preserve"> regulatory impact statement (RIS)</w:t>
      </w:r>
      <w:r w:rsidR="000348ED" w:rsidRPr="00AB5774">
        <w:rPr>
          <w:rFonts w:asciiTheme="minorHAnsi" w:hAnsiTheme="minorHAnsi" w:cstheme="minorHAnsi"/>
        </w:rPr>
        <w:t xml:space="preserve"> </w:t>
      </w:r>
      <w:r w:rsidR="0013232B" w:rsidRPr="00AB5774">
        <w:rPr>
          <w:rFonts w:asciiTheme="minorHAnsi" w:hAnsiTheme="minorHAnsi" w:cstheme="minorHAnsi"/>
        </w:rPr>
        <w:t>fulfils a similar function. A RIS</w:t>
      </w:r>
      <w:r w:rsidR="00473104" w:rsidRPr="00AB5774">
        <w:rPr>
          <w:rFonts w:asciiTheme="minorHAnsi" w:hAnsiTheme="minorHAnsi" w:cstheme="minorHAnsi"/>
        </w:rPr>
        <w:t xml:space="preserve"> provides a high-level summary of the problem being addressed, the options and their associated costs and benefits, the consultation undertaken, and the proposed arrangements for implementation and review.</w:t>
      </w:r>
      <w:r w:rsidR="007D3369" w:rsidRPr="00AB5774">
        <w:rPr>
          <w:rFonts w:asciiTheme="minorHAnsi" w:hAnsiTheme="minorHAnsi" w:cstheme="minorHAnsi"/>
        </w:rPr>
        <w:t xml:space="preserve"> </w:t>
      </w:r>
      <w:r w:rsidR="008F3AF2" w:rsidRPr="00AB5774">
        <w:rPr>
          <w:rFonts w:asciiTheme="minorHAnsi" w:hAnsiTheme="minorHAnsi" w:cstheme="minorHAnsi"/>
        </w:rPr>
        <w:t xml:space="preserve">RIS are prepared in accordance with </w:t>
      </w:r>
      <w:r w:rsidR="0069309E" w:rsidRPr="00AB5774">
        <w:rPr>
          <w:rFonts w:asciiTheme="minorHAnsi" w:hAnsiTheme="minorHAnsi" w:cstheme="minorHAnsi"/>
        </w:rPr>
        <w:t>all of government guidance on what must be included and considered.</w:t>
      </w:r>
    </w:p>
    <w:p w14:paraId="4F16F254" w14:textId="21E1D47D" w:rsidR="00BB564C" w:rsidRPr="00AB5774" w:rsidRDefault="0069309E" w:rsidP="00793B44">
      <w:pPr>
        <w:pStyle w:val="TextindentedLR"/>
        <w:rPr>
          <w:rFonts w:asciiTheme="minorHAnsi" w:hAnsiTheme="minorHAnsi" w:cstheme="minorHAnsi"/>
        </w:rPr>
      </w:pPr>
      <w:r w:rsidRPr="00AB5774">
        <w:rPr>
          <w:rFonts w:asciiTheme="minorHAnsi" w:hAnsiTheme="minorHAnsi" w:cstheme="minorHAnsi"/>
        </w:rPr>
        <w:t xml:space="preserve"> </w:t>
      </w:r>
      <w:r w:rsidR="00B02C50">
        <w:rPr>
          <w:rFonts w:asciiTheme="minorHAnsi" w:hAnsiTheme="minorHAnsi" w:cstheme="minorHAnsi"/>
        </w:rPr>
        <w:t xml:space="preserve">But Wellington, we have a problem. </w:t>
      </w:r>
      <w:r w:rsidR="00AB5774" w:rsidRPr="00AB5774">
        <w:rPr>
          <w:rFonts w:asciiTheme="minorHAnsi" w:hAnsiTheme="minorHAnsi" w:cstheme="minorHAnsi"/>
        </w:rPr>
        <w:t xml:space="preserve">Except to the limited extent mentioned </w:t>
      </w:r>
      <w:r w:rsidR="008B4CC5">
        <w:rPr>
          <w:rFonts w:asciiTheme="minorHAnsi" w:hAnsiTheme="minorHAnsi" w:cstheme="minorHAnsi"/>
        </w:rPr>
        <w:t xml:space="preserve">later </w:t>
      </w:r>
      <w:r w:rsidR="00AB5774" w:rsidRPr="00AB5774">
        <w:rPr>
          <w:rFonts w:asciiTheme="minorHAnsi" w:hAnsiTheme="minorHAnsi" w:cstheme="minorHAnsi"/>
        </w:rPr>
        <w:t xml:space="preserve">in this paper, consideration of the impact on competition is </w:t>
      </w:r>
      <w:r w:rsidR="0045245F">
        <w:rPr>
          <w:rFonts w:asciiTheme="minorHAnsi" w:hAnsiTheme="minorHAnsi" w:cstheme="minorHAnsi"/>
        </w:rPr>
        <w:t>limited or</w:t>
      </w:r>
      <w:r w:rsidR="00AB5774" w:rsidRPr="00AB5774">
        <w:rPr>
          <w:rFonts w:asciiTheme="minorHAnsi" w:hAnsiTheme="minorHAnsi" w:cstheme="minorHAnsi"/>
        </w:rPr>
        <w:t xml:space="preserve"> absent</w:t>
      </w:r>
      <w:r w:rsidR="0045245F">
        <w:rPr>
          <w:rFonts w:asciiTheme="minorHAnsi" w:hAnsiTheme="minorHAnsi" w:cstheme="minorHAnsi"/>
        </w:rPr>
        <w:t xml:space="preserve"> from </w:t>
      </w:r>
      <w:r w:rsidR="00BD35B4">
        <w:rPr>
          <w:rFonts w:asciiTheme="minorHAnsi" w:hAnsiTheme="minorHAnsi" w:cstheme="minorHAnsi"/>
        </w:rPr>
        <w:t>much</w:t>
      </w:r>
      <w:r w:rsidR="0045245F">
        <w:rPr>
          <w:rFonts w:asciiTheme="minorHAnsi" w:hAnsiTheme="minorHAnsi" w:cstheme="minorHAnsi"/>
        </w:rPr>
        <w:t xml:space="preserve"> regulatory impact analysis</w:t>
      </w:r>
      <w:r w:rsidR="00AB5774" w:rsidRPr="00AB5774">
        <w:rPr>
          <w:rFonts w:asciiTheme="minorHAnsi" w:hAnsiTheme="minorHAnsi" w:cstheme="minorHAnsi"/>
        </w:rPr>
        <w:t>.</w:t>
      </w:r>
      <w:r w:rsidR="0045245F">
        <w:rPr>
          <w:rFonts w:asciiTheme="minorHAnsi" w:hAnsiTheme="minorHAnsi" w:cstheme="minorHAnsi"/>
        </w:rPr>
        <w:t xml:space="preserve">  </w:t>
      </w:r>
      <w:r w:rsidR="00BD35B4">
        <w:rPr>
          <w:rFonts w:asciiTheme="minorHAnsi" w:hAnsiTheme="minorHAnsi" w:cstheme="minorHAnsi"/>
        </w:rPr>
        <w:t>Moreover, based on the outcomes we see,</w:t>
      </w:r>
      <w:r w:rsidR="00314CD4">
        <w:rPr>
          <w:rFonts w:asciiTheme="minorHAnsi" w:hAnsiTheme="minorHAnsi" w:cstheme="minorHAnsi"/>
        </w:rPr>
        <w:t xml:space="preserve"> and the frequency with which competition is limited, its easy to suspect </w:t>
      </w:r>
      <w:r w:rsidR="00162EEA">
        <w:rPr>
          <w:rFonts w:asciiTheme="minorHAnsi" w:hAnsiTheme="minorHAnsi" w:cstheme="minorHAnsi"/>
        </w:rPr>
        <w:t xml:space="preserve">that </w:t>
      </w:r>
      <w:r w:rsidR="00314CD4">
        <w:rPr>
          <w:rFonts w:asciiTheme="minorHAnsi" w:hAnsiTheme="minorHAnsi" w:cstheme="minorHAnsi"/>
        </w:rPr>
        <w:t>little</w:t>
      </w:r>
      <w:r w:rsidR="00162EEA">
        <w:rPr>
          <w:rFonts w:asciiTheme="minorHAnsi" w:hAnsiTheme="minorHAnsi" w:cstheme="minorHAnsi"/>
        </w:rPr>
        <w:t xml:space="preserve"> weight has been given to</w:t>
      </w:r>
      <w:r w:rsidR="00314CD4">
        <w:rPr>
          <w:rFonts w:asciiTheme="minorHAnsi" w:hAnsiTheme="minorHAnsi" w:cstheme="minorHAnsi"/>
        </w:rPr>
        <w:t xml:space="preserve"> competition.</w:t>
      </w:r>
      <w:r w:rsidR="00162EEA">
        <w:rPr>
          <w:rFonts w:asciiTheme="minorHAnsi" w:hAnsiTheme="minorHAnsi" w:cstheme="minorHAnsi"/>
        </w:rPr>
        <w:t xml:space="preserve"> </w:t>
      </w:r>
      <w:r w:rsidR="00D31516" w:rsidRPr="00AB5774">
        <w:rPr>
          <w:rFonts w:asciiTheme="minorHAnsi" w:hAnsiTheme="minorHAnsi" w:cstheme="minorHAnsi"/>
        </w:rPr>
        <w:t xml:space="preserve">Responsibility for </w:t>
      </w:r>
      <w:r w:rsidR="00AF0DD5">
        <w:rPr>
          <w:rFonts w:asciiTheme="minorHAnsi" w:hAnsiTheme="minorHAnsi" w:cstheme="minorHAnsi"/>
        </w:rPr>
        <w:t>regulatory analysis</w:t>
      </w:r>
      <w:r w:rsidR="00D31516" w:rsidRPr="00AB5774">
        <w:rPr>
          <w:rFonts w:asciiTheme="minorHAnsi" w:hAnsiTheme="minorHAnsi" w:cstheme="minorHAnsi"/>
        </w:rPr>
        <w:t xml:space="preserve"> has recently shifted from its long term home in Treasury to the new Minister of Regulation</w:t>
      </w:r>
      <w:r w:rsidR="00AB5774" w:rsidRPr="00AB5774">
        <w:rPr>
          <w:rFonts w:asciiTheme="minorHAnsi" w:hAnsiTheme="minorHAnsi" w:cstheme="minorHAnsi"/>
        </w:rPr>
        <w:t>, which may provide an opportunity for this to change</w:t>
      </w:r>
      <w:r w:rsidR="008B4CC5">
        <w:rPr>
          <w:rFonts w:asciiTheme="minorHAnsi" w:hAnsiTheme="minorHAnsi" w:cstheme="minorHAnsi"/>
        </w:rPr>
        <w:t xml:space="preserve"> (particularly if Dr Crampton has anything to say about it)</w:t>
      </w:r>
      <w:r w:rsidR="00D31516" w:rsidRPr="00AB5774">
        <w:rPr>
          <w:rFonts w:asciiTheme="minorHAnsi" w:hAnsiTheme="minorHAnsi" w:cstheme="minorHAnsi"/>
        </w:rPr>
        <w:t>.</w:t>
      </w:r>
      <w:r w:rsidR="0093162F" w:rsidRPr="00AB5774">
        <w:rPr>
          <w:rFonts w:asciiTheme="minorHAnsi" w:hAnsiTheme="minorHAnsi" w:cstheme="minorHAnsi"/>
        </w:rPr>
        <w:t xml:space="preserve">  </w:t>
      </w:r>
    </w:p>
    <w:p w14:paraId="47AB22E1" w14:textId="4F8E16AE" w:rsidR="004C7609" w:rsidRDefault="003C2744" w:rsidP="00793B44">
      <w:pPr>
        <w:pStyle w:val="TextindentedLR"/>
        <w:rPr>
          <w:rFonts w:asciiTheme="minorHAnsi" w:hAnsiTheme="minorHAnsi" w:cstheme="minorHAnsi"/>
        </w:rPr>
      </w:pPr>
      <w:r>
        <w:rPr>
          <w:rFonts w:asciiTheme="minorHAnsi" w:hAnsiTheme="minorHAnsi" w:cstheme="minorHAnsi"/>
        </w:rPr>
        <w:lastRenderedPageBreak/>
        <w:t>In this paper</w:t>
      </w:r>
      <w:r w:rsidR="00761013">
        <w:rPr>
          <w:rFonts w:asciiTheme="minorHAnsi" w:hAnsiTheme="minorHAnsi" w:cstheme="minorHAnsi"/>
        </w:rPr>
        <w:t>,</w:t>
      </w:r>
      <w:r>
        <w:rPr>
          <w:rFonts w:asciiTheme="minorHAnsi" w:hAnsiTheme="minorHAnsi" w:cstheme="minorHAnsi"/>
        </w:rPr>
        <w:t xml:space="preserve"> </w:t>
      </w:r>
      <w:r w:rsidR="00DA3D9C">
        <w:rPr>
          <w:rFonts w:asciiTheme="minorHAnsi" w:hAnsiTheme="minorHAnsi" w:cstheme="minorHAnsi"/>
        </w:rPr>
        <w:t xml:space="preserve">as well as discussing the </w:t>
      </w:r>
      <w:r w:rsidR="00B96EC4">
        <w:rPr>
          <w:rFonts w:asciiTheme="minorHAnsi" w:hAnsiTheme="minorHAnsi" w:cstheme="minorHAnsi"/>
        </w:rPr>
        <w:t>‘</w:t>
      </w:r>
      <w:r w:rsidR="004A097B">
        <w:rPr>
          <w:rFonts w:asciiTheme="minorHAnsi" w:hAnsiTheme="minorHAnsi" w:cstheme="minorHAnsi"/>
        </w:rPr>
        <w:t>C</w:t>
      </w:r>
      <w:r w:rsidR="00B96EC4">
        <w:rPr>
          <w:rFonts w:asciiTheme="minorHAnsi" w:hAnsiTheme="minorHAnsi" w:cstheme="minorHAnsi"/>
        </w:rPr>
        <w:t>rown exception’</w:t>
      </w:r>
      <w:r w:rsidR="00D14CDC">
        <w:rPr>
          <w:rFonts w:asciiTheme="minorHAnsi" w:hAnsiTheme="minorHAnsi" w:cstheme="minorHAnsi"/>
        </w:rPr>
        <w:t>,</w:t>
      </w:r>
      <w:r w:rsidR="00B96EC4">
        <w:rPr>
          <w:rFonts w:asciiTheme="minorHAnsi" w:hAnsiTheme="minorHAnsi" w:cstheme="minorHAnsi"/>
        </w:rPr>
        <w:t xml:space="preserve"> </w:t>
      </w:r>
      <w:r>
        <w:rPr>
          <w:rFonts w:asciiTheme="minorHAnsi" w:hAnsiTheme="minorHAnsi" w:cstheme="minorHAnsi"/>
        </w:rPr>
        <w:t xml:space="preserve">I attempted to identify other tools that might be used to increase </w:t>
      </w:r>
      <w:r w:rsidR="004A097B">
        <w:rPr>
          <w:rFonts w:asciiTheme="minorHAnsi" w:hAnsiTheme="minorHAnsi" w:cstheme="minorHAnsi"/>
        </w:rPr>
        <w:t>Government’s</w:t>
      </w:r>
      <w:r>
        <w:rPr>
          <w:rFonts w:asciiTheme="minorHAnsi" w:hAnsiTheme="minorHAnsi" w:cstheme="minorHAnsi"/>
        </w:rPr>
        <w:t xml:space="preserve"> emphasis on competition and constrain government attempts to limit it. </w:t>
      </w:r>
      <w:r w:rsidR="00D14CDC">
        <w:rPr>
          <w:rFonts w:asciiTheme="minorHAnsi" w:hAnsiTheme="minorHAnsi" w:cstheme="minorHAnsi"/>
        </w:rPr>
        <w:t>I see t</w:t>
      </w:r>
      <w:r>
        <w:rPr>
          <w:rFonts w:asciiTheme="minorHAnsi" w:hAnsiTheme="minorHAnsi" w:cstheme="minorHAnsi"/>
        </w:rPr>
        <w:t>he Act</w:t>
      </w:r>
      <w:r w:rsidR="004A097B">
        <w:rPr>
          <w:rFonts w:asciiTheme="minorHAnsi" w:hAnsiTheme="minorHAnsi" w:cstheme="minorHAnsi"/>
        </w:rPr>
        <w:t>,</w:t>
      </w:r>
      <w:r>
        <w:rPr>
          <w:rFonts w:asciiTheme="minorHAnsi" w:hAnsiTheme="minorHAnsi" w:cstheme="minorHAnsi"/>
        </w:rPr>
        <w:t xml:space="preserve"> its exceptions</w:t>
      </w:r>
      <w:r w:rsidR="004A097B">
        <w:rPr>
          <w:rFonts w:asciiTheme="minorHAnsi" w:hAnsiTheme="minorHAnsi" w:cstheme="minorHAnsi"/>
        </w:rPr>
        <w:t xml:space="preserve">, and the policy process for dealing with Government limits on competition </w:t>
      </w:r>
      <w:r w:rsidR="00D14CDC">
        <w:rPr>
          <w:rFonts w:asciiTheme="minorHAnsi" w:hAnsiTheme="minorHAnsi" w:cstheme="minorHAnsi"/>
        </w:rPr>
        <w:t>as ideally</w:t>
      </w:r>
      <w:r>
        <w:rPr>
          <w:rFonts w:asciiTheme="minorHAnsi" w:hAnsiTheme="minorHAnsi" w:cstheme="minorHAnsi"/>
        </w:rPr>
        <w:t xml:space="preserve"> </w:t>
      </w:r>
      <w:r w:rsidR="004A097B">
        <w:rPr>
          <w:rFonts w:asciiTheme="minorHAnsi" w:hAnsiTheme="minorHAnsi" w:cstheme="minorHAnsi"/>
        </w:rPr>
        <w:t>operat</w:t>
      </w:r>
      <w:r w:rsidR="00D14CDC">
        <w:rPr>
          <w:rFonts w:asciiTheme="minorHAnsi" w:hAnsiTheme="minorHAnsi" w:cstheme="minorHAnsi"/>
        </w:rPr>
        <w:t>ing</w:t>
      </w:r>
      <w:r w:rsidR="004A097B">
        <w:rPr>
          <w:rFonts w:asciiTheme="minorHAnsi" w:hAnsiTheme="minorHAnsi" w:cstheme="minorHAnsi"/>
        </w:rPr>
        <w:t xml:space="preserve"> as </w:t>
      </w:r>
      <w:r>
        <w:rPr>
          <w:rFonts w:asciiTheme="minorHAnsi" w:hAnsiTheme="minorHAnsi" w:cstheme="minorHAnsi"/>
        </w:rPr>
        <w:t xml:space="preserve">a coherent whole. </w:t>
      </w:r>
      <w:r w:rsidR="0093162F" w:rsidRPr="00AB5774">
        <w:rPr>
          <w:rFonts w:asciiTheme="minorHAnsi" w:hAnsiTheme="minorHAnsi" w:cstheme="minorHAnsi"/>
        </w:rPr>
        <w:t>In a perfect world, c</w:t>
      </w:r>
      <w:r w:rsidR="00BB564C" w:rsidRPr="00AB5774">
        <w:rPr>
          <w:rFonts w:asciiTheme="minorHAnsi" w:hAnsiTheme="minorHAnsi" w:cstheme="minorHAnsi"/>
        </w:rPr>
        <w:t>ost benefit analys</w:t>
      </w:r>
      <w:r w:rsidR="0093162F" w:rsidRPr="00AB5774">
        <w:rPr>
          <w:rFonts w:asciiTheme="minorHAnsi" w:hAnsiTheme="minorHAnsi" w:cstheme="minorHAnsi"/>
        </w:rPr>
        <w:t>is</w:t>
      </w:r>
      <w:r w:rsidR="00D31516" w:rsidRPr="00AB5774">
        <w:rPr>
          <w:rFonts w:asciiTheme="minorHAnsi" w:hAnsiTheme="minorHAnsi" w:cstheme="minorHAnsi"/>
        </w:rPr>
        <w:t xml:space="preserve"> </w:t>
      </w:r>
      <w:r>
        <w:rPr>
          <w:rFonts w:asciiTheme="minorHAnsi" w:hAnsiTheme="minorHAnsi" w:cstheme="minorHAnsi"/>
        </w:rPr>
        <w:t xml:space="preserve">might well be </w:t>
      </w:r>
      <w:r w:rsidR="0093162F" w:rsidRPr="00AB5774">
        <w:rPr>
          <w:rFonts w:asciiTheme="minorHAnsi" w:hAnsiTheme="minorHAnsi" w:cstheme="minorHAnsi"/>
        </w:rPr>
        <w:t>applied</w:t>
      </w:r>
      <w:r w:rsidR="0026592C">
        <w:rPr>
          <w:rFonts w:asciiTheme="minorHAnsi" w:hAnsiTheme="minorHAnsi" w:cstheme="minorHAnsi"/>
        </w:rPr>
        <w:t xml:space="preserve"> in all cases</w:t>
      </w:r>
      <w:r w:rsidR="008B79C2">
        <w:rPr>
          <w:rFonts w:asciiTheme="minorHAnsi" w:hAnsiTheme="minorHAnsi" w:cstheme="minorHAnsi"/>
        </w:rPr>
        <w:t xml:space="preserve"> to determine whether a particular Government action should be permitted to limit competition</w:t>
      </w:r>
      <w:r w:rsidR="00547565">
        <w:rPr>
          <w:rFonts w:asciiTheme="minorHAnsi" w:hAnsiTheme="minorHAnsi" w:cstheme="minorHAnsi"/>
        </w:rPr>
        <w:t>. But</w:t>
      </w:r>
      <w:r w:rsidR="0026592C">
        <w:rPr>
          <w:rFonts w:asciiTheme="minorHAnsi" w:hAnsiTheme="minorHAnsi" w:cstheme="minorHAnsi"/>
        </w:rPr>
        <w:t xml:space="preserve"> as an exception,</w:t>
      </w:r>
      <w:r w:rsidR="009125B2">
        <w:rPr>
          <w:rFonts w:asciiTheme="minorHAnsi" w:hAnsiTheme="minorHAnsi" w:cstheme="minorHAnsi"/>
        </w:rPr>
        <w:t xml:space="preserve"> </w:t>
      </w:r>
      <w:r w:rsidR="00A96262">
        <w:rPr>
          <w:rFonts w:asciiTheme="minorHAnsi" w:hAnsiTheme="minorHAnsi" w:cstheme="minorHAnsi"/>
        </w:rPr>
        <w:t>such an approach would be uncertain, unpredictable, and costly to administer and enforce. It is</w:t>
      </w:r>
      <w:r w:rsidR="009125B2">
        <w:rPr>
          <w:rFonts w:asciiTheme="minorHAnsi" w:hAnsiTheme="minorHAnsi" w:cstheme="minorHAnsi"/>
        </w:rPr>
        <w:t xml:space="preserve"> not an approach that </w:t>
      </w:r>
      <w:r w:rsidR="0026592C">
        <w:rPr>
          <w:rFonts w:asciiTheme="minorHAnsi" w:hAnsiTheme="minorHAnsi" w:cstheme="minorHAnsi"/>
        </w:rPr>
        <w:t>would be</w:t>
      </w:r>
      <w:r w:rsidR="009125B2">
        <w:rPr>
          <w:rFonts w:asciiTheme="minorHAnsi" w:hAnsiTheme="minorHAnsi" w:cstheme="minorHAnsi"/>
        </w:rPr>
        <w:t xml:space="preserve"> favoured by lawyers</w:t>
      </w:r>
      <w:r w:rsidR="00C77676">
        <w:rPr>
          <w:rFonts w:asciiTheme="minorHAnsi" w:hAnsiTheme="minorHAnsi" w:cstheme="minorHAnsi"/>
        </w:rPr>
        <w:t>, who prefer certain, predictable, swift and efficient means</w:t>
      </w:r>
      <w:r w:rsidR="0068132E">
        <w:rPr>
          <w:rFonts w:asciiTheme="minorHAnsi" w:hAnsiTheme="minorHAnsi" w:cstheme="minorHAnsi"/>
        </w:rPr>
        <w:t xml:space="preserve"> for resolving issues, like the judicial system</w:t>
      </w:r>
      <w:r w:rsidR="009125B2">
        <w:rPr>
          <w:rFonts w:asciiTheme="minorHAnsi" w:hAnsiTheme="minorHAnsi" w:cstheme="minorHAnsi"/>
        </w:rPr>
        <w:t xml:space="preserve">. </w:t>
      </w:r>
      <w:r w:rsidR="0073788C">
        <w:rPr>
          <w:rFonts w:asciiTheme="minorHAnsi" w:hAnsiTheme="minorHAnsi" w:cstheme="minorHAnsi"/>
        </w:rPr>
        <w:t>A</w:t>
      </w:r>
      <w:r w:rsidR="00BE081F">
        <w:rPr>
          <w:rFonts w:asciiTheme="minorHAnsi" w:hAnsiTheme="minorHAnsi" w:cstheme="minorHAnsi"/>
        </w:rPr>
        <w:t xml:space="preserve">s </w:t>
      </w:r>
      <w:r w:rsidR="007E50A5">
        <w:rPr>
          <w:rFonts w:asciiTheme="minorHAnsi" w:hAnsiTheme="minorHAnsi" w:cstheme="minorHAnsi"/>
        </w:rPr>
        <w:t xml:space="preserve">the late </w:t>
      </w:r>
      <w:r w:rsidR="00D636D3">
        <w:rPr>
          <w:rFonts w:asciiTheme="minorHAnsi" w:hAnsiTheme="minorHAnsi" w:cstheme="minorHAnsi"/>
        </w:rPr>
        <w:t>Justice Hammond</w:t>
      </w:r>
      <w:r w:rsidR="0073788C">
        <w:rPr>
          <w:rFonts w:asciiTheme="minorHAnsi" w:hAnsiTheme="minorHAnsi" w:cstheme="minorHAnsi"/>
        </w:rPr>
        <w:t xml:space="preserve"> put it</w:t>
      </w:r>
      <w:r w:rsidR="009125B2">
        <w:rPr>
          <w:rFonts w:asciiTheme="minorHAnsi" w:hAnsiTheme="minorHAnsi" w:cstheme="minorHAnsi"/>
        </w:rPr>
        <w:t>:</w:t>
      </w:r>
      <w:r w:rsidR="00B34DCB">
        <w:rPr>
          <w:rStyle w:val="FootnoteReference"/>
          <w:rFonts w:asciiTheme="minorHAnsi" w:hAnsiTheme="minorHAnsi" w:cstheme="minorHAnsi"/>
        </w:rPr>
        <w:footnoteReference w:id="3"/>
      </w:r>
    </w:p>
    <w:p w14:paraId="5E8FEF82" w14:textId="77777777" w:rsidR="004C7609" w:rsidRDefault="004C7609" w:rsidP="00793B44">
      <w:pPr>
        <w:pStyle w:val="TextindentedLR"/>
        <w:rPr>
          <w:rFonts w:asciiTheme="minorHAnsi" w:hAnsiTheme="minorHAnsi" w:cstheme="minorHAnsi"/>
        </w:rPr>
      </w:pPr>
    </w:p>
    <w:p w14:paraId="4F4E9E7C" w14:textId="137ED93F" w:rsidR="00793B44" w:rsidRDefault="004C7609" w:rsidP="004C7609">
      <w:pPr>
        <w:pStyle w:val="QuoteLR"/>
        <w:rPr>
          <w:rFonts w:asciiTheme="minorHAnsi" w:hAnsiTheme="minorHAnsi" w:cstheme="minorHAnsi"/>
        </w:rPr>
      </w:pPr>
      <w:r w:rsidRPr="004C7609">
        <w:rPr>
          <w:rFonts w:asciiTheme="minorHAnsi" w:hAnsiTheme="minorHAnsi" w:cstheme="minorHAnsi"/>
        </w:rPr>
        <w:t xml:space="preserve">Karl Llewellyn once said, somewhere, that “sometimes we just need a rule”. </w:t>
      </w:r>
    </w:p>
    <w:p w14:paraId="0938928F" w14:textId="77777777" w:rsidR="00247C5B" w:rsidRDefault="00247C5B" w:rsidP="00247C5B">
      <w:pPr>
        <w:pStyle w:val="TextindentedLR"/>
        <w:rPr>
          <w:rFonts w:asciiTheme="minorHAnsi" w:hAnsiTheme="minorHAnsi" w:cstheme="minorHAnsi"/>
        </w:rPr>
      </w:pPr>
    </w:p>
    <w:p w14:paraId="385FE04B" w14:textId="4188060F" w:rsidR="00247C5B" w:rsidRPr="00AB5774" w:rsidRDefault="00247C5B" w:rsidP="00247C5B">
      <w:pPr>
        <w:pStyle w:val="TextindentedLR"/>
        <w:rPr>
          <w:rFonts w:asciiTheme="minorHAnsi" w:hAnsiTheme="minorHAnsi" w:cstheme="minorHAnsi"/>
        </w:rPr>
      </w:pPr>
      <w:r>
        <w:rPr>
          <w:rFonts w:asciiTheme="minorHAnsi" w:hAnsiTheme="minorHAnsi" w:cstheme="minorHAnsi"/>
        </w:rPr>
        <w:t xml:space="preserve">Attached to this paper </w:t>
      </w:r>
      <w:r w:rsidR="00B96EC4">
        <w:rPr>
          <w:rFonts w:asciiTheme="minorHAnsi" w:hAnsiTheme="minorHAnsi" w:cstheme="minorHAnsi"/>
        </w:rPr>
        <w:t xml:space="preserve">in the conference materials should be </w:t>
      </w:r>
      <w:r>
        <w:rPr>
          <w:rFonts w:asciiTheme="minorHAnsi" w:hAnsiTheme="minorHAnsi" w:cstheme="minorHAnsi"/>
        </w:rPr>
        <w:t>my attempt to craft such a rule, in the hope that discuss</w:t>
      </w:r>
      <w:r w:rsidR="00423DFD">
        <w:rPr>
          <w:rFonts w:asciiTheme="minorHAnsi" w:hAnsiTheme="minorHAnsi" w:cstheme="minorHAnsi"/>
        </w:rPr>
        <w:t xml:space="preserve">ion at this conference might </w:t>
      </w:r>
      <w:r>
        <w:rPr>
          <w:rFonts w:asciiTheme="minorHAnsi" w:hAnsiTheme="minorHAnsi" w:cstheme="minorHAnsi"/>
        </w:rPr>
        <w:t>improve it</w:t>
      </w:r>
      <w:r w:rsidR="00E21AE4">
        <w:rPr>
          <w:rFonts w:asciiTheme="minorHAnsi" w:hAnsiTheme="minorHAnsi" w:cstheme="minorHAnsi"/>
        </w:rPr>
        <w:t xml:space="preserve">. Perhaps, </w:t>
      </w:r>
      <w:r w:rsidR="00423DFD">
        <w:rPr>
          <w:rFonts w:asciiTheme="minorHAnsi" w:hAnsiTheme="minorHAnsi" w:cstheme="minorHAnsi"/>
        </w:rPr>
        <w:t xml:space="preserve">if </w:t>
      </w:r>
      <w:r w:rsidR="00E21AE4">
        <w:rPr>
          <w:rFonts w:asciiTheme="minorHAnsi" w:hAnsiTheme="minorHAnsi" w:cstheme="minorHAnsi"/>
        </w:rPr>
        <w:t xml:space="preserve">copies are </w:t>
      </w:r>
      <w:r w:rsidR="00423DFD">
        <w:rPr>
          <w:rFonts w:asciiTheme="minorHAnsi" w:hAnsiTheme="minorHAnsi" w:cstheme="minorHAnsi"/>
        </w:rPr>
        <w:t>left lying around long enough</w:t>
      </w:r>
      <w:r w:rsidR="00E21AE4">
        <w:rPr>
          <w:rFonts w:asciiTheme="minorHAnsi" w:hAnsiTheme="minorHAnsi" w:cstheme="minorHAnsi"/>
        </w:rPr>
        <w:t xml:space="preserve"> in enough bars in Wellington</w:t>
      </w:r>
      <w:r w:rsidR="00423DFD">
        <w:rPr>
          <w:rFonts w:asciiTheme="minorHAnsi" w:hAnsiTheme="minorHAnsi" w:cstheme="minorHAnsi"/>
        </w:rPr>
        <w:t>, Parliament might eventually adopt it.</w:t>
      </w:r>
    </w:p>
    <w:p w14:paraId="42AB0511" w14:textId="7AB0F645" w:rsidR="00DF26AA" w:rsidRPr="006450FB" w:rsidRDefault="00DF26AA" w:rsidP="00A21C4B">
      <w:pPr>
        <w:pStyle w:val="Heading1LR"/>
        <w:rPr>
          <w:rFonts w:asciiTheme="minorHAnsi" w:hAnsiTheme="minorHAnsi" w:cstheme="minorHAnsi"/>
        </w:rPr>
      </w:pPr>
      <w:r w:rsidRPr="006450FB">
        <w:rPr>
          <w:rFonts w:asciiTheme="minorHAnsi" w:hAnsiTheme="minorHAnsi" w:cstheme="minorHAnsi"/>
        </w:rPr>
        <w:t>I</w:t>
      </w:r>
      <w:r w:rsidR="001112A6" w:rsidRPr="006450FB">
        <w:rPr>
          <w:rFonts w:asciiTheme="minorHAnsi" w:hAnsiTheme="minorHAnsi" w:cstheme="minorHAnsi"/>
        </w:rPr>
        <w:t xml:space="preserve">  </w:t>
      </w:r>
      <w:r w:rsidRPr="006450FB">
        <w:rPr>
          <w:rFonts w:asciiTheme="minorHAnsi" w:hAnsiTheme="minorHAnsi" w:cstheme="minorHAnsi"/>
        </w:rPr>
        <w:t>Introduction</w:t>
      </w:r>
      <w:r w:rsidR="009C6379">
        <w:rPr>
          <w:rFonts w:asciiTheme="minorHAnsi" w:hAnsiTheme="minorHAnsi" w:cstheme="minorHAnsi"/>
        </w:rPr>
        <w:t xml:space="preserve"> – is it time to bury the Crown exception?</w:t>
      </w:r>
    </w:p>
    <w:p w14:paraId="24531405" w14:textId="7704287F" w:rsidR="00477562" w:rsidRPr="006450FB" w:rsidRDefault="006450FB" w:rsidP="00A21C4B">
      <w:pPr>
        <w:pStyle w:val="TextnoindentLR"/>
        <w:rPr>
          <w:rFonts w:asciiTheme="minorHAnsi" w:hAnsiTheme="minorHAnsi" w:cstheme="minorHAnsi"/>
        </w:rPr>
      </w:pPr>
      <w:r>
        <w:rPr>
          <w:rFonts w:asciiTheme="minorHAnsi" w:hAnsiTheme="minorHAnsi" w:cstheme="minorHAnsi"/>
        </w:rPr>
        <w:t>2023 saw a</w:t>
      </w:r>
      <w:r w:rsidR="00613BCE" w:rsidRPr="006450FB">
        <w:rPr>
          <w:rFonts w:asciiTheme="minorHAnsi" w:hAnsiTheme="minorHAnsi" w:cstheme="minorHAnsi"/>
        </w:rPr>
        <w:t xml:space="preserve"> renewed focus on the Crown</w:t>
      </w:r>
      <w:r w:rsidR="003B424D">
        <w:rPr>
          <w:rFonts w:asciiTheme="minorHAnsi" w:hAnsiTheme="minorHAnsi" w:cstheme="minorHAnsi"/>
        </w:rPr>
        <w:t xml:space="preserve"> for lawyers</w:t>
      </w:r>
      <w:r w:rsidR="00613BCE" w:rsidRPr="006450FB">
        <w:rPr>
          <w:rFonts w:asciiTheme="minorHAnsi" w:hAnsiTheme="minorHAnsi" w:cstheme="minorHAnsi"/>
        </w:rPr>
        <w:t>, as we adjust</w:t>
      </w:r>
      <w:r>
        <w:rPr>
          <w:rFonts w:asciiTheme="minorHAnsi" w:hAnsiTheme="minorHAnsi" w:cstheme="minorHAnsi"/>
        </w:rPr>
        <w:t>ed</w:t>
      </w:r>
      <w:r w:rsidR="00613BCE" w:rsidRPr="006450FB">
        <w:rPr>
          <w:rFonts w:asciiTheme="minorHAnsi" w:hAnsiTheme="minorHAnsi" w:cstheme="minorHAnsi"/>
        </w:rPr>
        <w:t xml:space="preserve"> from </w:t>
      </w:r>
      <w:r w:rsidR="00BF627B" w:rsidRPr="006450FB">
        <w:rPr>
          <w:rFonts w:asciiTheme="minorHAnsi" w:hAnsiTheme="minorHAnsi" w:cstheme="minorHAnsi"/>
        </w:rPr>
        <w:t xml:space="preserve">Te Kuini to </w:t>
      </w:r>
      <w:r w:rsidR="005165C4" w:rsidRPr="006450FB">
        <w:rPr>
          <w:rFonts w:asciiTheme="minorHAnsi" w:hAnsiTheme="minorHAnsi" w:cstheme="minorHAnsi"/>
        </w:rPr>
        <w:t xml:space="preserve">Te Kīngi, </w:t>
      </w:r>
      <w:r w:rsidR="00613BCE" w:rsidRPr="006450FB">
        <w:rPr>
          <w:rFonts w:asciiTheme="minorHAnsi" w:hAnsiTheme="minorHAnsi" w:cstheme="minorHAnsi"/>
        </w:rPr>
        <w:t xml:space="preserve">Queen’s Counsel to King’s Counsel, </w:t>
      </w:r>
      <w:r w:rsidR="00F95485" w:rsidRPr="006450FB">
        <w:rPr>
          <w:rFonts w:asciiTheme="minorHAnsi" w:hAnsiTheme="minorHAnsi" w:cstheme="minorHAnsi"/>
        </w:rPr>
        <w:t xml:space="preserve">and </w:t>
      </w:r>
      <w:r w:rsidR="00613BCE" w:rsidRPr="006450FB">
        <w:rPr>
          <w:rFonts w:asciiTheme="minorHAnsi" w:hAnsiTheme="minorHAnsi" w:cstheme="minorHAnsi"/>
        </w:rPr>
        <w:t xml:space="preserve">from </w:t>
      </w:r>
      <w:r w:rsidR="00613BCE" w:rsidRPr="006450FB">
        <w:rPr>
          <w:rFonts w:asciiTheme="minorHAnsi" w:hAnsiTheme="minorHAnsi" w:cstheme="minorHAnsi"/>
          <w:i/>
          <w:iCs/>
        </w:rPr>
        <w:t>Reg v Brown</w:t>
      </w:r>
      <w:r w:rsidR="00613BCE" w:rsidRPr="006450FB">
        <w:rPr>
          <w:rFonts w:asciiTheme="minorHAnsi" w:hAnsiTheme="minorHAnsi" w:cstheme="minorHAnsi"/>
        </w:rPr>
        <w:t xml:space="preserve"> to </w:t>
      </w:r>
      <w:r w:rsidR="00613BCE" w:rsidRPr="006450FB">
        <w:rPr>
          <w:rFonts w:asciiTheme="minorHAnsi" w:hAnsiTheme="minorHAnsi" w:cstheme="minorHAnsi"/>
          <w:i/>
          <w:iCs/>
        </w:rPr>
        <w:t>Rex v Brown</w:t>
      </w:r>
      <w:r w:rsidR="00613BCE" w:rsidRPr="006450FB">
        <w:rPr>
          <w:rFonts w:asciiTheme="minorHAnsi" w:hAnsiTheme="minorHAnsi" w:cstheme="minorHAnsi"/>
        </w:rPr>
        <w:t>. For New Zealand competition lawyers, that might lead you to focus on the Crown’s liability under the Commerce Act</w:t>
      </w:r>
      <w:r w:rsidR="009B20C1" w:rsidRPr="006450FB">
        <w:rPr>
          <w:rFonts w:asciiTheme="minorHAnsi" w:hAnsiTheme="minorHAnsi" w:cstheme="minorHAnsi"/>
        </w:rPr>
        <w:t xml:space="preserve"> 1986</w:t>
      </w:r>
      <w:r w:rsidR="00613BCE" w:rsidRPr="006450FB">
        <w:rPr>
          <w:rFonts w:asciiTheme="minorHAnsi" w:hAnsiTheme="minorHAnsi" w:cstheme="minorHAnsi"/>
        </w:rPr>
        <w:t>.</w:t>
      </w:r>
      <w:r w:rsidR="00E818F5" w:rsidRPr="006450FB">
        <w:rPr>
          <w:rFonts w:asciiTheme="minorHAnsi" w:hAnsiTheme="minorHAnsi" w:cstheme="minorHAnsi"/>
        </w:rPr>
        <w:t xml:space="preserve"> </w:t>
      </w:r>
      <w:r w:rsidR="002400C2" w:rsidRPr="006450FB">
        <w:rPr>
          <w:rFonts w:asciiTheme="minorHAnsi" w:hAnsiTheme="minorHAnsi" w:cstheme="minorHAnsi"/>
        </w:rPr>
        <w:t xml:space="preserve">Much like the </w:t>
      </w:r>
      <w:r w:rsidR="00E41CA3" w:rsidRPr="006450FB">
        <w:rPr>
          <w:rFonts w:asciiTheme="minorHAnsi" w:hAnsiTheme="minorHAnsi" w:cstheme="minorHAnsi"/>
        </w:rPr>
        <w:t xml:space="preserve">coronation </w:t>
      </w:r>
      <w:r w:rsidR="002400C2" w:rsidRPr="006450FB">
        <w:rPr>
          <w:rFonts w:asciiTheme="minorHAnsi" w:hAnsiTheme="minorHAnsi" w:cstheme="minorHAnsi"/>
        </w:rPr>
        <w:t xml:space="preserve">ceremony </w:t>
      </w:r>
      <w:r w:rsidR="007315EA" w:rsidRPr="006450FB">
        <w:rPr>
          <w:rFonts w:asciiTheme="minorHAnsi" w:hAnsiTheme="minorHAnsi" w:cstheme="minorHAnsi"/>
        </w:rPr>
        <w:t>for</w:t>
      </w:r>
      <w:r w:rsidR="002400C2" w:rsidRPr="006450FB">
        <w:rPr>
          <w:rFonts w:asciiTheme="minorHAnsi" w:hAnsiTheme="minorHAnsi" w:cstheme="minorHAnsi"/>
        </w:rPr>
        <w:t xml:space="preserve"> King Charle</w:t>
      </w:r>
      <w:r w:rsidR="007315EA" w:rsidRPr="006450FB">
        <w:rPr>
          <w:rFonts w:asciiTheme="minorHAnsi" w:hAnsiTheme="minorHAnsi" w:cstheme="minorHAnsi"/>
        </w:rPr>
        <w:t>s</w:t>
      </w:r>
      <w:r w:rsidR="004225F1" w:rsidRPr="006450FB">
        <w:rPr>
          <w:rFonts w:asciiTheme="minorHAnsi" w:hAnsiTheme="minorHAnsi" w:cstheme="minorHAnsi"/>
        </w:rPr>
        <w:t xml:space="preserve"> III</w:t>
      </w:r>
      <w:r w:rsidR="007315EA" w:rsidRPr="006450FB">
        <w:rPr>
          <w:rFonts w:asciiTheme="minorHAnsi" w:hAnsiTheme="minorHAnsi" w:cstheme="minorHAnsi"/>
        </w:rPr>
        <w:t xml:space="preserve">, </w:t>
      </w:r>
      <w:r w:rsidR="00631F61" w:rsidRPr="006450FB">
        <w:rPr>
          <w:rFonts w:asciiTheme="minorHAnsi" w:hAnsiTheme="minorHAnsi" w:cstheme="minorHAnsi"/>
        </w:rPr>
        <w:t>it</w:t>
      </w:r>
      <w:r w:rsidR="007315EA" w:rsidRPr="006450FB">
        <w:rPr>
          <w:rFonts w:asciiTheme="minorHAnsi" w:hAnsiTheme="minorHAnsi" w:cstheme="minorHAnsi"/>
        </w:rPr>
        <w:t xml:space="preserve"> appears long overdue for review</w:t>
      </w:r>
      <w:r w:rsidR="005C26DA" w:rsidRPr="006450FB">
        <w:rPr>
          <w:rFonts w:asciiTheme="minorHAnsi" w:hAnsiTheme="minorHAnsi" w:cstheme="minorHAnsi"/>
        </w:rPr>
        <w:t xml:space="preserve">, </w:t>
      </w:r>
      <w:r w:rsidR="00BA51B8" w:rsidRPr="006450FB">
        <w:rPr>
          <w:rFonts w:asciiTheme="minorHAnsi" w:hAnsiTheme="minorHAnsi" w:cstheme="minorHAnsi"/>
        </w:rPr>
        <w:t>modernisation,</w:t>
      </w:r>
      <w:r w:rsidR="007315EA" w:rsidRPr="006450FB">
        <w:rPr>
          <w:rFonts w:asciiTheme="minorHAnsi" w:hAnsiTheme="minorHAnsi" w:cstheme="minorHAnsi"/>
        </w:rPr>
        <w:t xml:space="preserve"> and improvement.</w:t>
      </w:r>
    </w:p>
    <w:p w14:paraId="4B11706B" w14:textId="22443ABA" w:rsidR="00516C11" w:rsidRPr="006450FB" w:rsidRDefault="00906010" w:rsidP="00A21C4B">
      <w:pPr>
        <w:pStyle w:val="TextindentedLR"/>
        <w:rPr>
          <w:rFonts w:asciiTheme="minorHAnsi" w:hAnsiTheme="minorHAnsi" w:cstheme="minorHAnsi"/>
        </w:rPr>
      </w:pPr>
      <w:r w:rsidRPr="006450FB">
        <w:rPr>
          <w:rFonts w:asciiTheme="minorHAnsi" w:hAnsiTheme="minorHAnsi" w:cstheme="minorHAnsi"/>
        </w:rPr>
        <w:t>While it was</w:t>
      </w:r>
      <w:r w:rsidR="00A02273" w:rsidRPr="006450FB">
        <w:rPr>
          <w:rFonts w:asciiTheme="minorHAnsi" w:hAnsiTheme="minorHAnsi" w:cstheme="minorHAnsi"/>
        </w:rPr>
        <w:t xml:space="preserve"> once an accepted legal maxim</w:t>
      </w:r>
      <w:r w:rsidRPr="006450FB">
        <w:rPr>
          <w:rFonts w:asciiTheme="minorHAnsi" w:hAnsiTheme="minorHAnsi" w:cstheme="minorHAnsi"/>
        </w:rPr>
        <w:t xml:space="preserve"> that “the King can do no wrong”, a more modern view is that if the Crown, or its servants, have breached an obligation that would also have been owed by private individuals, then the Crown should be liable in the </w:t>
      </w:r>
      <w:r w:rsidR="001F0BBF" w:rsidRPr="006450FB">
        <w:rPr>
          <w:rFonts w:asciiTheme="minorHAnsi" w:hAnsiTheme="minorHAnsi" w:cstheme="minorHAnsi"/>
        </w:rPr>
        <w:t>c</w:t>
      </w:r>
      <w:r w:rsidRPr="006450FB">
        <w:rPr>
          <w:rFonts w:asciiTheme="minorHAnsi" w:hAnsiTheme="minorHAnsi" w:cstheme="minorHAnsi"/>
        </w:rPr>
        <w:t>ourts.</w:t>
      </w:r>
      <w:r w:rsidRPr="006450FB">
        <w:rPr>
          <w:rStyle w:val="FootnoteReference"/>
          <w:rFonts w:asciiTheme="minorHAnsi" w:hAnsiTheme="minorHAnsi" w:cstheme="minorHAnsi"/>
          <w:sz w:val="24"/>
          <w:szCs w:val="24"/>
        </w:rPr>
        <w:footnoteReference w:id="4"/>
      </w:r>
      <w:r w:rsidRPr="006450FB">
        <w:rPr>
          <w:rFonts w:asciiTheme="minorHAnsi" w:hAnsiTheme="minorHAnsi" w:cstheme="minorHAnsi"/>
        </w:rPr>
        <w:t xml:space="preserve"> As the Legislative Design and Advisory Committee guidance notes, legislation should apply to the Crown unless there is good reason not to:</w:t>
      </w:r>
      <w:bookmarkStart w:id="0" w:name="_Ref142465330"/>
      <w:r w:rsidRPr="006450FB">
        <w:rPr>
          <w:rStyle w:val="FootnoteReference"/>
          <w:rFonts w:asciiTheme="minorHAnsi" w:hAnsiTheme="minorHAnsi" w:cstheme="minorHAnsi"/>
          <w:sz w:val="24"/>
          <w:szCs w:val="24"/>
        </w:rPr>
        <w:footnoteReference w:id="5"/>
      </w:r>
      <w:bookmarkEnd w:id="0"/>
    </w:p>
    <w:p w14:paraId="45871041" w14:textId="77777777" w:rsidR="00A21C4B" w:rsidRPr="006450FB" w:rsidRDefault="00A21C4B" w:rsidP="00A21C4B">
      <w:pPr>
        <w:pStyle w:val="TextindentedLR"/>
        <w:ind w:firstLine="0"/>
        <w:rPr>
          <w:rFonts w:asciiTheme="minorHAnsi" w:hAnsiTheme="minorHAnsi" w:cstheme="minorHAnsi"/>
        </w:rPr>
      </w:pPr>
    </w:p>
    <w:p w14:paraId="70293434" w14:textId="62C7E8C4" w:rsidR="00516C11" w:rsidRPr="006450FB" w:rsidRDefault="00906010" w:rsidP="00A21C4B">
      <w:pPr>
        <w:pStyle w:val="QuoteLR"/>
        <w:rPr>
          <w:rFonts w:asciiTheme="minorHAnsi" w:hAnsiTheme="minorHAnsi" w:cstheme="minorHAnsi"/>
        </w:rPr>
      </w:pPr>
      <w:r w:rsidRPr="006450FB">
        <w:rPr>
          <w:rFonts w:asciiTheme="minorHAnsi" w:hAnsiTheme="minorHAnsi" w:cstheme="minorHAnsi"/>
        </w:rPr>
        <w:t>The starting point is that the Crown should be bound by an Act and secondary legislation made under it, unless the application of a particular Act to the Crown would impair the efficient functioning of government. Mere convenience is an insufficient justification for not binding the Crown. Legislation that does not bind the Crown should not grant the Crown an unfair benefit or unexpectedly or adversely affect third parties.</w:t>
      </w:r>
    </w:p>
    <w:p w14:paraId="1257B6B2" w14:textId="77777777" w:rsidR="00A21C4B" w:rsidRPr="006450FB" w:rsidRDefault="00A21C4B" w:rsidP="00A21C4B">
      <w:pPr>
        <w:pStyle w:val="QuoteLR"/>
        <w:ind w:left="0"/>
        <w:rPr>
          <w:rFonts w:asciiTheme="minorHAnsi" w:hAnsiTheme="minorHAnsi" w:cstheme="minorHAnsi"/>
        </w:rPr>
      </w:pPr>
    </w:p>
    <w:p w14:paraId="0483BC93" w14:textId="24F3A10B" w:rsidR="00930462" w:rsidRPr="006450FB" w:rsidRDefault="00906010" w:rsidP="00A21C4B">
      <w:pPr>
        <w:pStyle w:val="TextnoindentLR"/>
        <w:rPr>
          <w:rFonts w:asciiTheme="minorHAnsi" w:hAnsiTheme="minorHAnsi" w:cstheme="minorHAnsi"/>
        </w:rPr>
      </w:pPr>
      <w:r w:rsidRPr="006450FB">
        <w:rPr>
          <w:rFonts w:asciiTheme="minorHAnsi" w:hAnsiTheme="minorHAnsi" w:cstheme="minorHAnsi"/>
        </w:rPr>
        <w:t xml:space="preserve">The Legislation Act 2019, however, provides the opposite </w:t>
      </w:r>
      <w:r w:rsidR="00E329DA" w:rsidRPr="006450FB">
        <w:rPr>
          <w:rFonts w:asciiTheme="minorHAnsi" w:hAnsiTheme="minorHAnsi" w:cstheme="minorHAnsi"/>
        </w:rPr>
        <w:t>—</w:t>
      </w:r>
      <w:r w:rsidRPr="006450FB">
        <w:rPr>
          <w:rFonts w:asciiTheme="minorHAnsi" w:hAnsiTheme="minorHAnsi" w:cstheme="minorHAnsi"/>
        </w:rPr>
        <w:t xml:space="preserve"> that legislation does not bind the Crown unless it expressly provides that the Crown is so bound.</w:t>
      </w:r>
      <w:r w:rsidRPr="006450FB">
        <w:rPr>
          <w:rStyle w:val="FootnoteReference"/>
          <w:rFonts w:asciiTheme="minorHAnsi" w:hAnsiTheme="minorHAnsi" w:cstheme="minorHAnsi"/>
          <w:sz w:val="24"/>
          <w:szCs w:val="32"/>
        </w:rPr>
        <w:footnoteReference w:id="6"/>
      </w:r>
      <w:r w:rsidRPr="006450FB">
        <w:rPr>
          <w:rFonts w:asciiTheme="minorHAnsi" w:hAnsiTheme="minorHAnsi" w:cstheme="minorHAnsi"/>
        </w:rPr>
        <w:t xml:space="preserve"> The general application of the Commerce Act to </w:t>
      </w:r>
      <w:r w:rsidR="00D76C97" w:rsidRPr="006450FB">
        <w:rPr>
          <w:rFonts w:asciiTheme="minorHAnsi" w:hAnsiTheme="minorHAnsi" w:cstheme="minorHAnsi"/>
        </w:rPr>
        <w:t>the Crown</w:t>
      </w:r>
      <w:r w:rsidRPr="006450FB">
        <w:rPr>
          <w:rFonts w:asciiTheme="minorHAnsi" w:hAnsiTheme="minorHAnsi" w:cstheme="minorHAnsi"/>
        </w:rPr>
        <w:t xml:space="preserve"> is </w:t>
      </w:r>
      <w:r w:rsidR="00920364" w:rsidRPr="006450FB">
        <w:rPr>
          <w:rFonts w:asciiTheme="minorHAnsi" w:hAnsiTheme="minorHAnsi" w:cstheme="minorHAnsi"/>
        </w:rPr>
        <w:t xml:space="preserve">therefore </w:t>
      </w:r>
      <w:r w:rsidRPr="006450FB">
        <w:rPr>
          <w:rFonts w:asciiTheme="minorHAnsi" w:hAnsiTheme="minorHAnsi" w:cstheme="minorHAnsi"/>
        </w:rPr>
        <w:t>governed by two provisions</w:t>
      </w:r>
      <w:r w:rsidR="00920364" w:rsidRPr="006450FB">
        <w:rPr>
          <w:rFonts w:asciiTheme="minorHAnsi" w:hAnsiTheme="minorHAnsi" w:cstheme="minorHAnsi"/>
        </w:rPr>
        <w:t xml:space="preserve"> that extend the </w:t>
      </w:r>
      <w:r w:rsidR="00047A66" w:rsidRPr="006450FB">
        <w:rPr>
          <w:rFonts w:asciiTheme="minorHAnsi" w:hAnsiTheme="minorHAnsi" w:cstheme="minorHAnsi"/>
        </w:rPr>
        <w:t xml:space="preserve">Commerce </w:t>
      </w:r>
      <w:r w:rsidR="00920364" w:rsidRPr="006450FB">
        <w:rPr>
          <w:rFonts w:asciiTheme="minorHAnsi" w:hAnsiTheme="minorHAnsi" w:cstheme="minorHAnsi"/>
        </w:rPr>
        <w:t>Act to the Crown</w:t>
      </w:r>
      <w:r w:rsidRPr="006450FB">
        <w:rPr>
          <w:rFonts w:asciiTheme="minorHAnsi" w:hAnsiTheme="minorHAnsi" w:cstheme="minorHAnsi"/>
        </w:rPr>
        <w:t>.</w:t>
      </w:r>
      <w:r w:rsidR="000F5B1F" w:rsidRPr="006450FB">
        <w:rPr>
          <w:rFonts w:asciiTheme="minorHAnsi" w:hAnsiTheme="minorHAnsi" w:cstheme="minorHAnsi"/>
        </w:rPr>
        <w:t xml:space="preserve"> I will refer to these </w:t>
      </w:r>
      <w:r w:rsidR="00626B02" w:rsidRPr="006450FB">
        <w:rPr>
          <w:rFonts w:asciiTheme="minorHAnsi" w:hAnsiTheme="minorHAnsi" w:cstheme="minorHAnsi"/>
        </w:rPr>
        <w:t xml:space="preserve">collectively </w:t>
      </w:r>
      <w:r w:rsidR="000F5B1F" w:rsidRPr="006450FB">
        <w:rPr>
          <w:rFonts w:asciiTheme="minorHAnsi" w:hAnsiTheme="minorHAnsi" w:cstheme="minorHAnsi"/>
        </w:rPr>
        <w:t>as the Crown exception.</w:t>
      </w:r>
    </w:p>
    <w:p w14:paraId="16434337" w14:textId="4DA1A9E6" w:rsidR="002B4331" w:rsidRPr="006450FB" w:rsidRDefault="6DA0BB3C" w:rsidP="00A21C4B">
      <w:pPr>
        <w:pStyle w:val="TextindentedLR"/>
        <w:rPr>
          <w:rFonts w:asciiTheme="minorHAnsi" w:hAnsiTheme="minorHAnsi" w:cstheme="minorHAnsi"/>
        </w:rPr>
      </w:pPr>
      <w:r w:rsidRPr="006450FB">
        <w:rPr>
          <w:rFonts w:asciiTheme="minorHAnsi" w:hAnsiTheme="minorHAnsi" w:cstheme="minorHAnsi"/>
        </w:rPr>
        <w:t xml:space="preserve">Since 1979, the Crown and </w:t>
      </w:r>
      <w:r w:rsidR="00626B02" w:rsidRPr="006450FB">
        <w:rPr>
          <w:rFonts w:asciiTheme="minorHAnsi" w:hAnsiTheme="minorHAnsi" w:cstheme="minorHAnsi"/>
        </w:rPr>
        <w:t>C</w:t>
      </w:r>
      <w:r w:rsidRPr="006450FB">
        <w:rPr>
          <w:rFonts w:asciiTheme="minorHAnsi" w:hAnsiTheme="minorHAnsi" w:cstheme="minorHAnsi"/>
        </w:rPr>
        <w:t xml:space="preserve">rown Corporations have been subject to New Zealand’s competition law, when </w:t>
      </w:r>
      <w:r w:rsidR="00946F55" w:rsidRPr="006450FB">
        <w:rPr>
          <w:rFonts w:asciiTheme="minorHAnsi" w:hAnsiTheme="minorHAnsi" w:cstheme="minorHAnsi"/>
        </w:rPr>
        <w:t xml:space="preserve">engaged </w:t>
      </w:r>
      <w:r w:rsidRPr="006450FB">
        <w:rPr>
          <w:rFonts w:asciiTheme="minorHAnsi" w:hAnsiTheme="minorHAnsi" w:cstheme="minorHAnsi"/>
        </w:rPr>
        <w:t>in trade.</w:t>
      </w:r>
      <w:r w:rsidR="4A3D064A" w:rsidRPr="006450FB">
        <w:rPr>
          <w:rFonts w:asciiTheme="minorHAnsi" w:hAnsiTheme="minorHAnsi" w:cstheme="minorHAnsi"/>
        </w:rPr>
        <w:t xml:space="preserve"> The </w:t>
      </w:r>
      <w:r w:rsidRPr="006450FB">
        <w:rPr>
          <w:rFonts w:asciiTheme="minorHAnsi" w:hAnsiTheme="minorHAnsi" w:cstheme="minorHAnsi"/>
        </w:rPr>
        <w:t>legislative provisions have not been updated</w:t>
      </w:r>
      <w:r w:rsidR="1FFCA5C8" w:rsidRPr="006450FB">
        <w:rPr>
          <w:rFonts w:asciiTheme="minorHAnsi" w:hAnsiTheme="minorHAnsi" w:cstheme="minorHAnsi"/>
        </w:rPr>
        <w:t xml:space="preserve"> in line with reforms of the state sector since that time and are a poor fit for the modern executive. </w:t>
      </w:r>
      <w:r w:rsidR="00BD5350" w:rsidRPr="006450FB">
        <w:rPr>
          <w:rFonts w:asciiTheme="minorHAnsi" w:hAnsiTheme="minorHAnsi" w:cstheme="minorHAnsi"/>
        </w:rPr>
        <w:t xml:space="preserve">It is also </w:t>
      </w:r>
      <w:r w:rsidR="00631F61" w:rsidRPr="006450FB">
        <w:rPr>
          <w:rFonts w:asciiTheme="minorHAnsi" w:hAnsiTheme="minorHAnsi" w:cstheme="minorHAnsi"/>
        </w:rPr>
        <w:t xml:space="preserve">arguably </w:t>
      </w:r>
      <w:r w:rsidR="00BD5350" w:rsidRPr="006450FB">
        <w:rPr>
          <w:rFonts w:asciiTheme="minorHAnsi" w:hAnsiTheme="minorHAnsi" w:cstheme="minorHAnsi"/>
        </w:rPr>
        <w:t>out of step with OECD guidance on</w:t>
      </w:r>
      <w:r w:rsidR="00CE1CCE" w:rsidRPr="006450FB">
        <w:rPr>
          <w:rFonts w:asciiTheme="minorHAnsi" w:hAnsiTheme="minorHAnsi" w:cstheme="minorHAnsi"/>
        </w:rPr>
        <w:t xml:space="preserve"> avoiding undue governmental restrictions on competition.</w:t>
      </w:r>
      <w:bookmarkStart w:id="1" w:name="_Ref140931313"/>
      <w:r w:rsidR="00CE1CCE" w:rsidRPr="006450FB">
        <w:rPr>
          <w:rStyle w:val="FootnoteReference"/>
          <w:rFonts w:asciiTheme="minorHAnsi" w:hAnsiTheme="minorHAnsi" w:cstheme="minorHAnsi"/>
          <w:sz w:val="24"/>
          <w:szCs w:val="32"/>
        </w:rPr>
        <w:footnoteReference w:id="7"/>
      </w:r>
      <w:bookmarkEnd w:id="1"/>
    </w:p>
    <w:p w14:paraId="2AE787DF" w14:textId="535206FF" w:rsidR="00555F32" w:rsidRPr="006450FB" w:rsidRDefault="00CF3478" w:rsidP="00A21C4B">
      <w:pPr>
        <w:pStyle w:val="TextindentedLR"/>
        <w:rPr>
          <w:rFonts w:asciiTheme="minorHAnsi" w:hAnsiTheme="minorHAnsi" w:cstheme="minorHAnsi"/>
        </w:rPr>
      </w:pPr>
      <w:r w:rsidRPr="006450FB">
        <w:rPr>
          <w:rFonts w:asciiTheme="minorHAnsi" w:hAnsiTheme="minorHAnsi" w:cstheme="minorHAnsi"/>
        </w:rPr>
        <w:t>As Eagles</w:t>
      </w:r>
      <w:r w:rsidR="00C039BB" w:rsidRPr="006450FB">
        <w:rPr>
          <w:rFonts w:asciiTheme="minorHAnsi" w:hAnsiTheme="minorHAnsi" w:cstheme="minorHAnsi"/>
        </w:rPr>
        <w:t xml:space="preserve"> and Longdin have</w:t>
      </w:r>
      <w:r w:rsidRPr="006450FB">
        <w:rPr>
          <w:rFonts w:asciiTheme="minorHAnsi" w:hAnsiTheme="minorHAnsi" w:cstheme="minorHAnsi"/>
        </w:rPr>
        <w:t xml:space="preserve"> noted</w:t>
      </w:r>
      <w:r w:rsidR="00C039BB" w:rsidRPr="006450FB">
        <w:rPr>
          <w:rFonts w:asciiTheme="minorHAnsi" w:hAnsiTheme="minorHAnsi" w:cstheme="minorHAnsi"/>
        </w:rPr>
        <w:t>,</w:t>
      </w:r>
      <w:r w:rsidRPr="006450FB">
        <w:rPr>
          <w:rFonts w:asciiTheme="minorHAnsi" w:hAnsiTheme="minorHAnsi" w:cstheme="minorHAnsi"/>
        </w:rPr>
        <w:t xml:space="preserve"> legislative exceptions to the Commerce Act are not well integrated into our competition law, have largely escaped judicial scrutiny, and have considerable </w:t>
      </w:r>
      <w:r w:rsidRPr="006450FB">
        <w:rPr>
          <w:rFonts w:asciiTheme="minorHAnsi" w:hAnsiTheme="minorHAnsi" w:cstheme="minorHAnsi"/>
        </w:rPr>
        <w:lastRenderedPageBreak/>
        <w:t>potential to undermine a principled approach to competition law.</w:t>
      </w:r>
      <w:r w:rsidRPr="006450FB">
        <w:rPr>
          <w:rStyle w:val="FootnoteReference"/>
          <w:rFonts w:asciiTheme="minorHAnsi" w:hAnsiTheme="minorHAnsi" w:cstheme="minorHAnsi"/>
          <w:sz w:val="24"/>
          <w:szCs w:val="32"/>
        </w:rPr>
        <w:footnoteReference w:id="8"/>
      </w:r>
      <w:r w:rsidRPr="006450FB">
        <w:rPr>
          <w:rFonts w:asciiTheme="minorHAnsi" w:hAnsiTheme="minorHAnsi" w:cstheme="minorHAnsi"/>
        </w:rPr>
        <w:t xml:space="preserve"> </w:t>
      </w:r>
      <w:r w:rsidR="00B62BB2" w:rsidRPr="006450FB">
        <w:rPr>
          <w:rFonts w:asciiTheme="minorHAnsi" w:hAnsiTheme="minorHAnsi" w:cstheme="minorHAnsi"/>
        </w:rPr>
        <w:t xml:space="preserve">The OECD cautions against </w:t>
      </w:r>
      <w:r w:rsidR="007D12BB" w:rsidRPr="006450FB">
        <w:rPr>
          <w:rFonts w:asciiTheme="minorHAnsi" w:hAnsiTheme="minorHAnsi" w:cstheme="minorHAnsi"/>
        </w:rPr>
        <w:t xml:space="preserve">such </w:t>
      </w:r>
      <w:r w:rsidR="00B62BB2" w:rsidRPr="006450FB">
        <w:rPr>
          <w:rFonts w:asciiTheme="minorHAnsi" w:hAnsiTheme="minorHAnsi" w:cstheme="minorHAnsi"/>
        </w:rPr>
        <w:t>exceptions,</w:t>
      </w:r>
      <w:r w:rsidR="002704C0" w:rsidRPr="006450FB">
        <w:rPr>
          <w:rFonts w:asciiTheme="minorHAnsi" w:hAnsiTheme="minorHAnsi" w:cstheme="minorHAnsi"/>
        </w:rPr>
        <w:t xml:space="preserve"> and </w:t>
      </w:r>
      <w:r w:rsidR="00E5166F" w:rsidRPr="006450FB">
        <w:rPr>
          <w:rFonts w:asciiTheme="minorHAnsi" w:hAnsiTheme="minorHAnsi" w:cstheme="minorHAnsi"/>
        </w:rPr>
        <w:t xml:space="preserve">recommends </w:t>
      </w:r>
      <w:r w:rsidR="007D12BB" w:rsidRPr="006450FB">
        <w:rPr>
          <w:rFonts w:asciiTheme="minorHAnsi" w:hAnsiTheme="minorHAnsi" w:cstheme="minorHAnsi"/>
        </w:rPr>
        <w:t>that</w:t>
      </w:r>
      <w:r w:rsidR="004D53E8" w:rsidRPr="006450FB">
        <w:rPr>
          <w:rFonts w:asciiTheme="minorHAnsi" w:hAnsiTheme="minorHAnsi" w:cstheme="minorHAnsi"/>
        </w:rPr>
        <w:t>,</w:t>
      </w:r>
      <w:r w:rsidR="007D12BB" w:rsidRPr="006450FB">
        <w:rPr>
          <w:rFonts w:asciiTheme="minorHAnsi" w:hAnsiTheme="minorHAnsi" w:cstheme="minorHAnsi"/>
        </w:rPr>
        <w:t xml:space="preserve"> w</w:t>
      </w:r>
      <w:r w:rsidR="004D53E8" w:rsidRPr="006450FB">
        <w:rPr>
          <w:rFonts w:asciiTheme="minorHAnsi" w:hAnsiTheme="minorHAnsi" w:cstheme="minorHAnsi"/>
        </w:rPr>
        <w:t>h</w:t>
      </w:r>
      <w:r w:rsidR="007D12BB" w:rsidRPr="006450FB">
        <w:rPr>
          <w:rFonts w:asciiTheme="minorHAnsi" w:hAnsiTheme="minorHAnsi" w:cstheme="minorHAnsi"/>
        </w:rPr>
        <w:t>ere they are justified</w:t>
      </w:r>
      <w:r w:rsidR="004D53E8" w:rsidRPr="006450FB">
        <w:rPr>
          <w:rFonts w:asciiTheme="minorHAnsi" w:hAnsiTheme="minorHAnsi" w:cstheme="minorHAnsi"/>
        </w:rPr>
        <w:t>,</w:t>
      </w:r>
      <w:r w:rsidR="007D12BB" w:rsidRPr="006450FB">
        <w:rPr>
          <w:rFonts w:asciiTheme="minorHAnsi" w:hAnsiTheme="minorHAnsi" w:cstheme="minorHAnsi"/>
        </w:rPr>
        <w:t xml:space="preserve"> they should nevertheless be</w:t>
      </w:r>
      <w:r w:rsidR="00E5166F" w:rsidRPr="006450FB">
        <w:rPr>
          <w:rFonts w:asciiTheme="minorHAnsi" w:hAnsiTheme="minorHAnsi" w:cstheme="minorHAnsi"/>
        </w:rPr>
        <w:t xml:space="preserve"> kept under review, and be</w:t>
      </w:r>
      <w:r w:rsidR="007D12BB" w:rsidRPr="006450FB">
        <w:rPr>
          <w:rFonts w:asciiTheme="minorHAnsi" w:hAnsiTheme="minorHAnsi" w:cstheme="minorHAnsi"/>
        </w:rPr>
        <w:t xml:space="preserve"> </w:t>
      </w:r>
      <w:r w:rsidR="002704C0" w:rsidRPr="006450FB">
        <w:rPr>
          <w:rFonts w:asciiTheme="minorHAnsi" w:hAnsiTheme="minorHAnsi" w:cstheme="minorHAnsi"/>
        </w:rPr>
        <w:t>no broader than necessary.</w:t>
      </w:r>
      <w:bookmarkStart w:id="2" w:name="_Ref141005088"/>
      <w:r w:rsidR="002976C5" w:rsidRPr="006450FB">
        <w:rPr>
          <w:rStyle w:val="FootnoteReference"/>
          <w:rFonts w:asciiTheme="minorHAnsi" w:hAnsiTheme="minorHAnsi" w:cstheme="minorHAnsi"/>
          <w:sz w:val="24"/>
          <w:szCs w:val="32"/>
        </w:rPr>
        <w:footnoteReference w:id="9"/>
      </w:r>
      <w:bookmarkEnd w:id="2"/>
    </w:p>
    <w:p w14:paraId="02A3202A" w14:textId="78446E21" w:rsidR="008D0517" w:rsidRPr="006450FB" w:rsidRDefault="003D4636" w:rsidP="00A21C4B">
      <w:pPr>
        <w:pStyle w:val="TextindentedLR"/>
        <w:rPr>
          <w:rFonts w:asciiTheme="minorHAnsi" w:hAnsiTheme="minorHAnsi" w:cstheme="minorHAnsi"/>
        </w:rPr>
      </w:pPr>
      <w:r w:rsidRPr="006450FB">
        <w:rPr>
          <w:rFonts w:asciiTheme="minorHAnsi" w:hAnsiTheme="minorHAnsi" w:cstheme="minorHAnsi"/>
        </w:rPr>
        <w:t xml:space="preserve">It is not clear that this approach has been adopted in New Zealand </w:t>
      </w:r>
      <w:r w:rsidR="00CA64AA" w:rsidRPr="006450FB">
        <w:rPr>
          <w:rFonts w:asciiTheme="minorHAnsi" w:hAnsiTheme="minorHAnsi" w:cstheme="minorHAnsi"/>
        </w:rPr>
        <w:t xml:space="preserve">in regard </w:t>
      </w:r>
      <w:r w:rsidRPr="006450FB">
        <w:rPr>
          <w:rFonts w:asciiTheme="minorHAnsi" w:hAnsiTheme="minorHAnsi" w:cstheme="minorHAnsi"/>
        </w:rPr>
        <w:t>to existing exceptions.</w:t>
      </w:r>
      <w:r w:rsidR="00774971" w:rsidRPr="006450FB">
        <w:rPr>
          <w:rFonts w:asciiTheme="minorHAnsi" w:hAnsiTheme="minorHAnsi" w:cstheme="minorHAnsi"/>
        </w:rPr>
        <w:t xml:space="preserve"> The Commerce Act has generally been reviewed in a</w:t>
      </w:r>
      <w:r w:rsidR="0066173E" w:rsidRPr="006450FB">
        <w:rPr>
          <w:rFonts w:asciiTheme="minorHAnsi" w:hAnsiTheme="minorHAnsi" w:cstheme="minorHAnsi"/>
        </w:rPr>
        <w:t xml:space="preserve"> </w:t>
      </w:r>
      <w:r w:rsidR="008D0517" w:rsidRPr="006450FB">
        <w:rPr>
          <w:rFonts w:asciiTheme="minorHAnsi" w:hAnsiTheme="minorHAnsi" w:cstheme="minorHAnsi"/>
        </w:rPr>
        <w:t>“</w:t>
      </w:r>
      <w:r w:rsidR="0066173E" w:rsidRPr="006450FB">
        <w:rPr>
          <w:rFonts w:asciiTheme="minorHAnsi" w:hAnsiTheme="minorHAnsi" w:cstheme="minorHAnsi"/>
        </w:rPr>
        <w:t>targeted</w:t>
      </w:r>
      <w:r w:rsidR="008D0517" w:rsidRPr="006450FB">
        <w:rPr>
          <w:rFonts w:asciiTheme="minorHAnsi" w:hAnsiTheme="minorHAnsi" w:cstheme="minorHAnsi"/>
        </w:rPr>
        <w:t>”</w:t>
      </w:r>
      <w:r w:rsidR="0066173E" w:rsidRPr="006450FB">
        <w:rPr>
          <w:rFonts w:asciiTheme="minorHAnsi" w:hAnsiTheme="minorHAnsi" w:cstheme="minorHAnsi"/>
        </w:rPr>
        <w:t xml:space="preserve"> but</w:t>
      </w:r>
      <w:r w:rsidR="00774971" w:rsidRPr="006450FB">
        <w:rPr>
          <w:rFonts w:asciiTheme="minorHAnsi" w:hAnsiTheme="minorHAnsi" w:cstheme="minorHAnsi"/>
        </w:rPr>
        <w:t xml:space="preserve"> ad hoc manner,</w:t>
      </w:r>
      <w:r w:rsidR="005E02EC" w:rsidRPr="006450FB">
        <w:rPr>
          <w:rFonts w:asciiTheme="minorHAnsi" w:hAnsiTheme="minorHAnsi" w:cstheme="minorHAnsi"/>
        </w:rPr>
        <w:t xml:space="preserve"> with only</w:t>
      </w:r>
      <w:r w:rsidR="00FE1D48" w:rsidRPr="006450FB">
        <w:rPr>
          <w:rFonts w:asciiTheme="minorHAnsi" w:hAnsiTheme="minorHAnsi" w:cstheme="minorHAnsi"/>
        </w:rPr>
        <w:t xml:space="preserve"> the shipping and intellectual property exceptions considered</w:t>
      </w:r>
      <w:r w:rsidR="003E78D4" w:rsidRPr="006450FB">
        <w:rPr>
          <w:rFonts w:asciiTheme="minorHAnsi" w:hAnsiTheme="minorHAnsi" w:cstheme="minorHAnsi"/>
        </w:rPr>
        <w:t xml:space="preserve"> in the past decade</w:t>
      </w:r>
      <w:r w:rsidR="00FE1D48" w:rsidRPr="006450FB">
        <w:rPr>
          <w:rFonts w:asciiTheme="minorHAnsi" w:hAnsiTheme="minorHAnsi" w:cstheme="minorHAnsi"/>
        </w:rPr>
        <w:t>.</w:t>
      </w:r>
      <w:r w:rsidR="00FE1D48" w:rsidRPr="006450FB">
        <w:rPr>
          <w:rStyle w:val="FootnoteReference"/>
          <w:rFonts w:asciiTheme="minorHAnsi" w:hAnsiTheme="minorHAnsi" w:cstheme="minorHAnsi"/>
          <w:sz w:val="24"/>
          <w:szCs w:val="32"/>
        </w:rPr>
        <w:footnoteReference w:id="10"/>
      </w:r>
      <w:r w:rsidR="00774971" w:rsidRPr="006450FB">
        <w:rPr>
          <w:rFonts w:asciiTheme="minorHAnsi" w:hAnsiTheme="minorHAnsi" w:cstheme="minorHAnsi"/>
        </w:rPr>
        <w:t xml:space="preserve"> </w:t>
      </w:r>
      <w:r w:rsidR="00897B67" w:rsidRPr="006450FB">
        <w:rPr>
          <w:rFonts w:asciiTheme="minorHAnsi" w:hAnsiTheme="minorHAnsi" w:cstheme="minorHAnsi"/>
        </w:rPr>
        <w:t>It appears that no review has considered the scope of the broad exception given to government.</w:t>
      </w:r>
    </w:p>
    <w:p w14:paraId="494491AF" w14:textId="3175EB87" w:rsidR="00555F32" w:rsidRPr="006450FB" w:rsidRDefault="005B20BE" w:rsidP="00A21C4B">
      <w:pPr>
        <w:pStyle w:val="TextindentedLR"/>
        <w:rPr>
          <w:rFonts w:asciiTheme="minorHAnsi" w:hAnsiTheme="minorHAnsi" w:cstheme="minorHAnsi"/>
        </w:rPr>
      </w:pPr>
      <w:r w:rsidRPr="006450FB">
        <w:rPr>
          <w:rFonts w:asciiTheme="minorHAnsi" w:hAnsiTheme="minorHAnsi" w:cstheme="minorHAnsi"/>
        </w:rPr>
        <w:t>I</w:t>
      </w:r>
      <w:r w:rsidR="00981872" w:rsidRPr="006450FB">
        <w:rPr>
          <w:rFonts w:asciiTheme="minorHAnsi" w:hAnsiTheme="minorHAnsi" w:cstheme="minorHAnsi"/>
        </w:rPr>
        <w:t>t is not unusual</w:t>
      </w:r>
      <w:r w:rsidR="00902159" w:rsidRPr="006450FB">
        <w:rPr>
          <w:rFonts w:asciiTheme="minorHAnsi" w:hAnsiTheme="minorHAnsi" w:cstheme="minorHAnsi"/>
        </w:rPr>
        <w:t xml:space="preserve"> internationally</w:t>
      </w:r>
      <w:r w:rsidR="00981872" w:rsidRPr="006450FB">
        <w:rPr>
          <w:rFonts w:asciiTheme="minorHAnsi" w:hAnsiTheme="minorHAnsi" w:cstheme="minorHAnsi"/>
        </w:rPr>
        <w:t xml:space="preserve"> for government action to be </w:t>
      </w:r>
      <w:r w:rsidR="00CC425B" w:rsidRPr="006450FB">
        <w:rPr>
          <w:rFonts w:asciiTheme="minorHAnsi" w:hAnsiTheme="minorHAnsi" w:cstheme="minorHAnsi"/>
        </w:rPr>
        <w:t xml:space="preserve">partially or wholly </w:t>
      </w:r>
      <w:r w:rsidR="00981872" w:rsidRPr="006450FB">
        <w:rPr>
          <w:rFonts w:asciiTheme="minorHAnsi" w:hAnsiTheme="minorHAnsi" w:cstheme="minorHAnsi"/>
        </w:rPr>
        <w:t>excluded from competition law scrutiny.</w:t>
      </w:r>
      <w:r w:rsidR="0022610A" w:rsidRPr="006450FB">
        <w:rPr>
          <w:rStyle w:val="FootnoteReference"/>
          <w:rFonts w:asciiTheme="minorHAnsi" w:hAnsiTheme="minorHAnsi" w:cstheme="minorHAnsi"/>
          <w:sz w:val="24"/>
          <w:szCs w:val="32"/>
        </w:rPr>
        <w:footnoteReference w:id="11"/>
      </w:r>
      <w:r w:rsidR="00981872" w:rsidRPr="006450FB">
        <w:rPr>
          <w:rFonts w:asciiTheme="minorHAnsi" w:hAnsiTheme="minorHAnsi" w:cstheme="minorHAnsi"/>
        </w:rPr>
        <w:t xml:space="preserve"> </w:t>
      </w:r>
      <w:r w:rsidR="00907037" w:rsidRPr="006450FB">
        <w:rPr>
          <w:rFonts w:asciiTheme="minorHAnsi" w:hAnsiTheme="minorHAnsi" w:cstheme="minorHAnsi"/>
        </w:rPr>
        <w:t xml:space="preserve">In a small jurisdiction like New Zealand, </w:t>
      </w:r>
      <w:r w:rsidR="008501DC" w:rsidRPr="006450FB">
        <w:rPr>
          <w:rFonts w:asciiTheme="minorHAnsi" w:hAnsiTheme="minorHAnsi" w:cstheme="minorHAnsi"/>
        </w:rPr>
        <w:t xml:space="preserve">however, </w:t>
      </w:r>
      <w:r w:rsidR="00907037" w:rsidRPr="006450FB">
        <w:rPr>
          <w:rFonts w:asciiTheme="minorHAnsi" w:hAnsiTheme="minorHAnsi" w:cstheme="minorHAnsi"/>
        </w:rPr>
        <w:t>there is</w:t>
      </w:r>
      <w:r w:rsidR="00BA3CB1" w:rsidRPr="006450FB">
        <w:rPr>
          <w:rFonts w:asciiTheme="minorHAnsi" w:hAnsiTheme="minorHAnsi" w:cstheme="minorHAnsi"/>
        </w:rPr>
        <w:t xml:space="preserve"> perhaps greater</w:t>
      </w:r>
      <w:r w:rsidR="00907037" w:rsidRPr="006450FB">
        <w:rPr>
          <w:rFonts w:asciiTheme="minorHAnsi" w:hAnsiTheme="minorHAnsi" w:cstheme="minorHAnsi"/>
        </w:rPr>
        <w:t xml:space="preserve"> potential for government to have an overly large footprint in the commercial arena</w:t>
      </w:r>
      <w:r w:rsidR="00902159" w:rsidRPr="006450FB">
        <w:rPr>
          <w:rFonts w:asciiTheme="minorHAnsi" w:hAnsiTheme="minorHAnsi" w:cstheme="minorHAnsi"/>
        </w:rPr>
        <w:t>,</w:t>
      </w:r>
      <w:r w:rsidR="004334C7" w:rsidRPr="006450FB">
        <w:rPr>
          <w:rFonts w:asciiTheme="minorHAnsi" w:hAnsiTheme="minorHAnsi" w:cstheme="minorHAnsi"/>
        </w:rPr>
        <w:t xml:space="preserve"> whether as a participant, customer, funder or </w:t>
      </w:r>
      <w:r w:rsidR="004F335E" w:rsidRPr="006450FB">
        <w:rPr>
          <w:rFonts w:asciiTheme="minorHAnsi" w:hAnsiTheme="minorHAnsi" w:cstheme="minorHAnsi"/>
        </w:rPr>
        <w:t>regulator</w:t>
      </w:r>
      <w:r w:rsidR="00907037" w:rsidRPr="006450FB">
        <w:rPr>
          <w:rFonts w:asciiTheme="minorHAnsi" w:hAnsiTheme="minorHAnsi" w:cstheme="minorHAnsi"/>
        </w:rPr>
        <w:t>.</w:t>
      </w:r>
      <w:r w:rsidR="004A31AF" w:rsidRPr="006450FB">
        <w:rPr>
          <w:rStyle w:val="FootnoteReference"/>
          <w:rFonts w:asciiTheme="minorHAnsi" w:hAnsiTheme="minorHAnsi" w:cstheme="minorHAnsi"/>
          <w:sz w:val="24"/>
          <w:szCs w:val="32"/>
        </w:rPr>
        <w:footnoteReference w:id="12"/>
      </w:r>
      <w:r w:rsidR="00907037" w:rsidRPr="006450FB">
        <w:rPr>
          <w:rFonts w:asciiTheme="minorHAnsi" w:hAnsiTheme="minorHAnsi" w:cstheme="minorHAnsi"/>
        </w:rPr>
        <w:t xml:space="preserve"> </w:t>
      </w:r>
      <w:r w:rsidR="004B571F" w:rsidRPr="006450FB">
        <w:rPr>
          <w:rFonts w:asciiTheme="minorHAnsi" w:hAnsiTheme="minorHAnsi" w:cstheme="minorHAnsi"/>
        </w:rPr>
        <w:t>An overly broad exception for government</w:t>
      </w:r>
      <w:r w:rsidR="001C1D3D" w:rsidRPr="006450FB">
        <w:rPr>
          <w:rFonts w:asciiTheme="minorHAnsi" w:hAnsiTheme="minorHAnsi" w:cstheme="minorHAnsi"/>
        </w:rPr>
        <w:t xml:space="preserve"> activity</w:t>
      </w:r>
      <w:r w:rsidR="004B571F" w:rsidRPr="006450FB">
        <w:rPr>
          <w:rFonts w:asciiTheme="minorHAnsi" w:hAnsiTheme="minorHAnsi" w:cstheme="minorHAnsi"/>
        </w:rPr>
        <w:t xml:space="preserve"> may in turn result in </w:t>
      </w:r>
      <w:r w:rsidR="001C1D3D" w:rsidRPr="006450FB">
        <w:rPr>
          <w:rFonts w:asciiTheme="minorHAnsi" w:hAnsiTheme="minorHAnsi" w:cstheme="minorHAnsi"/>
        </w:rPr>
        <w:t>more significant effects than in other jurisdictions.</w:t>
      </w:r>
    </w:p>
    <w:p w14:paraId="12B451BF" w14:textId="2C496CD2" w:rsidR="293D2D12" w:rsidRPr="006450FB" w:rsidRDefault="009A76E5" w:rsidP="00A21C4B">
      <w:pPr>
        <w:pStyle w:val="Heading1LR"/>
        <w:rPr>
          <w:rFonts w:asciiTheme="minorHAnsi" w:hAnsiTheme="minorHAnsi" w:cstheme="minorHAnsi"/>
        </w:rPr>
      </w:pPr>
      <w:r w:rsidRPr="006450FB">
        <w:rPr>
          <w:rFonts w:asciiTheme="minorHAnsi" w:hAnsiTheme="minorHAnsi" w:cstheme="minorHAnsi"/>
        </w:rPr>
        <w:t>II</w:t>
      </w:r>
      <w:r w:rsidR="001112A6" w:rsidRPr="006450FB">
        <w:rPr>
          <w:rFonts w:asciiTheme="minorHAnsi" w:hAnsiTheme="minorHAnsi" w:cstheme="minorHAnsi"/>
        </w:rPr>
        <w:t xml:space="preserve">  </w:t>
      </w:r>
      <w:r w:rsidR="000707B1" w:rsidRPr="006450FB">
        <w:rPr>
          <w:rFonts w:asciiTheme="minorHAnsi" w:hAnsiTheme="minorHAnsi" w:cstheme="minorHAnsi"/>
        </w:rPr>
        <w:t xml:space="preserve">The </w:t>
      </w:r>
      <w:r w:rsidR="00A21C4B" w:rsidRPr="006450FB">
        <w:rPr>
          <w:rFonts w:asciiTheme="minorHAnsi" w:hAnsiTheme="minorHAnsi" w:cstheme="minorHAnsi"/>
        </w:rPr>
        <w:t>S</w:t>
      </w:r>
      <w:r w:rsidR="000707B1" w:rsidRPr="006450FB">
        <w:rPr>
          <w:rFonts w:asciiTheme="minorHAnsi" w:hAnsiTheme="minorHAnsi" w:cstheme="minorHAnsi"/>
        </w:rPr>
        <w:t xml:space="preserve">tatutory </w:t>
      </w:r>
      <w:r w:rsidR="00A21C4B" w:rsidRPr="006450FB">
        <w:rPr>
          <w:rFonts w:asciiTheme="minorHAnsi" w:hAnsiTheme="minorHAnsi" w:cstheme="minorHAnsi"/>
        </w:rPr>
        <w:t>C</w:t>
      </w:r>
      <w:r w:rsidR="000707B1" w:rsidRPr="006450FB">
        <w:rPr>
          <w:rFonts w:asciiTheme="minorHAnsi" w:hAnsiTheme="minorHAnsi" w:cstheme="minorHAnsi"/>
        </w:rPr>
        <w:t>ontext for t</w:t>
      </w:r>
      <w:r w:rsidR="00FB63B2" w:rsidRPr="006450FB">
        <w:rPr>
          <w:rFonts w:asciiTheme="minorHAnsi" w:hAnsiTheme="minorHAnsi" w:cstheme="minorHAnsi"/>
        </w:rPr>
        <w:t xml:space="preserve">he Crown </w:t>
      </w:r>
      <w:r w:rsidR="00A21C4B" w:rsidRPr="006450FB">
        <w:rPr>
          <w:rFonts w:asciiTheme="minorHAnsi" w:hAnsiTheme="minorHAnsi" w:cstheme="minorHAnsi"/>
        </w:rPr>
        <w:t>E</w:t>
      </w:r>
      <w:r w:rsidR="00FB63B2" w:rsidRPr="006450FB">
        <w:rPr>
          <w:rFonts w:asciiTheme="minorHAnsi" w:hAnsiTheme="minorHAnsi" w:cstheme="minorHAnsi"/>
        </w:rPr>
        <w:t>x</w:t>
      </w:r>
      <w:r w:rsidR="00A628CA" w:rsidRPr="006450FB">
        <w:rPr>
          <w:rFonts w:asciiTheme="minorHAnsi" w:hAnsiTheme="minorHAnsi" w:cstheme="minorHAnsi"/>
        </w:rPr>
        <w:t>ception to the Commerce Act</w:t>
      </w:r>
    </w:p>
    <w:p w14:paraId="349DA356" w14:textId="13D96D4B" w:rsidR="001F2D69" w:rsidRPr="006450FB" w:rsidRDefault="00370E95" w:rsidP="00A21C4B">
      <w:pPr>
        <w:pStyle w:val="TextnoindentLR"/>
        <w:rPr>
          <w:rFonts w:asciiTheme="minorHAnsi" w:hAnsiTheme="minorHAnsi" w:cstheme="minorHAnsi"/>
        </w:rPr>
      </w:pPr>
      <w:r w:rsidRPr="006450FB">
        <w:rPr>
          <w:rFonts w:asciiTheme="minorHAnsi" w:hAnsiTheme="minorHAnsi" w:cstheme="minorHAnsi"/>
        </w:rPr>
        <w:t>The Commerce Act applies to any person, whether or not they are in trade.</w:t>
      </w:r>
      <w:r w:rsidRPr="006450FB">
        <w:rPr>
          <w:rStyle w:val="FootnoteReference"/>
          <w:rFonts w:asciiTheme="minorHAnsi" w:hAnsiTheme="minorHAnsi" w:cstheme="minorHAnsi"/>
          <w:sz w:val="24"/>
          <w:szCs w:val="32"/>
        </w:rPr>
        <w:footnoteReference w:id="13"/>
      </w:r>
      <w:r w:rsidRPr="006450FB">
        <w:rPr>
          <w:rFonts w:asciiTheme="minorHAnsi" w:hAnsiTheme="minorHAnsi" w:cstheme="minorHAnsi"/>
        </w:rPr>
        <w:t xml:space="preserve"> Most prohibitions in the </w:t>
      </w:r>
      <w:r w:rsidR="00047A66" w:rsidRPr="006450FB">
        <w:rPr>
          <w:rFonts w:asciiTheme="minorHAnsi" w:hAnsiTheme="minorHAnsi" w:cstheme="minorHAnsi"/>
        </w:rPr>
        <w:t>Commerce A</w:t>
      </w:r>
      <w:r w:rsidRPr="006450FB">
        <w:rPr>
          <w:rFonts w:asciiTheme="minorHAnsi" w:hAnsiTheme="minorHAnsi" w:cstheme="minorHAnsi"/>
        </w:rPr>
        <w:t xml:space="preserve">ct apply to conduct by a person, which is defined as including </w:t>
      </w:r>
      <w:r w:rsidR="008E096F" w:rsidRPr="006450FB">
        <w:rPr>
          <w:rFonts w:asciiTheme="minorHAnsi" w:hAnsiTheme="minorHAnsi" w:cstheme="minorHAnsi"/>
        </w:rPr>
        <w:t>“</w:t>
      </w:r>
      <w:r w:rsidRPr="006450FB">
        <w:rPr>
          <w:rFonts w:asciiTheme="minorHAnsi" w:hAnsiTheme="minorHAnsi" w:cstheme="minorHAnsi"/>
        </w:rPr>
        <w:t>any association of persons, whether incorporated or not.</w:t>
      </w:r>
      <w:r w:rsidR="008E096F" w:rsidRPr="006450FB">
        <w:rPr>
          <w:rFonts w:asciiTheme="minorHAnsi" w:hAnsiTheme="minorHAnsi" w:cstheme="minorHAnsi"/>
        </w:rPr>
        <w:t>”</w:t>
      </w:r>
      <w:r w:rsidRPr="006450FB">
        <w:rPr>
          <w:rStyle w:val="FootnoteReference"/>
          <w:rFonts w:asciiTheme="minorHAnsi" w:hAnsiTheme="minorHAnsi" w:cstheme="minorHAnsi"/>
          <w:sz w:val="24"/>
          <w:szCs w:val="32"/>
        </w:rPr>
        <w:footnoteReference w:id="14"/>
      </w:r>
      <w:r w:rsidRPr="006450FB">
        <w:rPr>
          <w:rFonts w:asciiTheme="minorHAnsi" w:hAnsiTheme="minorHAnsi" w:cstheme="minorHAnsi"/>
        </w:rPr>
        <w:t xml:space="preserve"> The definition of person also expressly applies to any local authority, in contrast to the exception provided in Australia.</w:t>
      </w:r>
      <w:r w:rsidRPr="006450FB">
        <w:rPr>
          <w:rStyle w:val="FootnoteReference"/>
          <w:rFonts w:asciiTheme="minorHAnsi" w:hAnsiTheme="minorHAnsi" w:cstheme="minorHAnsi"/>
          <w:sz w:val="24"/>
          <w:szCs w:val="32"/>
        </w:rPr>
        <w:footnoteReference w:id="15"/>
      </w:r>
      <w:r w:rsidRPr="006450FB">
        <w:rPr>
          <w:rFonts w:asciiTheme="minorHAnsi" w:hAnsiTheme="minorHAnsi" w:cstheme="minorHAnsi"/>
        </w:rPr>
        <w:t xml:space="preserve"> The </w:t>
      </w:r>
      <w:r w:rsidR="00047A66" w:rsidRPr="006450FB">
        <w:rPr>
          <w:rFonts w:asciiTheme="minorHAnsi" w:hAnsiTheme="minorHAnsi" w:cstheme="minorHAnsi"/>
        </w:rPr>
        <w:t xml:space="preserve">Commerce </w:t>
      </w:r>
      <w:r w:rsidRPr="006450FB">
        <w:rPr>
          <w:rFonts w:asciiTheme="minorHAnsi" w:hAnsiTheme="minorHAnsi" w:cstheme="minorHAnsi"/>
        </w:rPr>
        <w:t>Act also applies to non-profit organisations, including sporting activities</w:t>
      </w:r>
      <w:r w:rsidRPr="006450FB">
        <w:rPr>
          <w:rStyle w:val="FootnoteReference"/>
          <w:rFonts w:asciiTheme="minorHAnsi" w:hAnsiTheme="minorHAnsi" w:cstheme="minorHAnsi"/>
          <w:sz w:val="24"/>
          <w:szCs w:val="32"/>
        </w:rPr>
        <w:footnoteReference w:id="16"/>
      </w:r>
      <w:r w:rsidRPr="006450FB">
        <w:rPr>
          <w:rFonts w:asciiTheme="minorHAnsi" w:hAnsiTheme="minorHAnsi" w:cstheme="minorHAnsi"/>
        </w:rPr>
        <w:t xml:space="preserve"> and industry bodies or associations.</w:t>
      </w:r>
      <w:r w:rsidRPr="006450FB">
        <w:rPr>
          <w:rStyle w:val="FootnoteReference"/>
          <w:rFonts w:asciiTheme="minorHAnsi" w:hAnsiTheme="minorHAnsi" w:cstheme="minorHAnsi"/>
          <w:sz w:val="24"/>
          <w:szCs w:val="32"/>
        </w:rPr>
        <w:footnoteReference w:id="17"/>
      </w:r>
    </w:p>
    <w:p w14:paraId="031C0DD8" w14:textId="77777777" w:rsidR="008A73BE" w:rsidRDefault="008A73BE" w:rsidP="008A73BE">
      <w:pPr>
        <w:pStyle w:val="TextindentedLR"/>
        <w:keepNext/>
        <w:rPr>
          <w:rFonts w:asciiTheme="minorHAnsi" w:hAnsiTheme="minorHAnsi" w:cstheme="minorHAnsi"/>
        </w:rPr>
      </w:pPr>
    </w:p>
    <w:p w14:paraId="3A2BD648" w14:textId="5C855BB5" w:rsidR="009A76E5" w:rsidRPr="006450FB" w:rsidRDefault="00C5301C" w:rsidP="008A73BE">
      <w:pPr>
        <w:pStyle w:val="TextindentedLR"/>
        <w:keepNext/>
        <w:rPr>
          <w:rFonts w:asciiTheme="minorHAnsi" w:hAnsiTheme="minorHAnsi" w:cstheme="minorHAnsi"/>
        </w:rPr>
      </w:pPr>
      <w:r w:rsidRPr="006450FB">
        <w:rPr>
          <w:rFonts w:asciiTheme="minorHAnsi" w:hAnsiTheme="minorHAnsi" w:cstheme="minorHAnsi"/>
        </w:rPr>
        <w:t>Section 5 of the Commerce Act provides that:</w:t>
      </w:r>
    </w:p>
    <w:p w14:paraId="3BA3AD8C" w14:textId="77777777" w:rsidR="00ED7DEC" w:rsidRPr="006450FB" w:rsidRDefault="00ED7DEC" w:rsidP="00ED7DEC">
      <w:pPr>
        <w:pStyle w:val="TextindentedLR"/>
        <w:rPr>
          <w:rFonts w:asciiTheme="minorHAnsi" w:hAnsiTheme="minorHAnsi" w:cstheme="minorHAnsi"/>
        </w:rPr>
      </w:pPr>
    </w:p>
    <w:p w14:paraId="2E8B5BDC" w14:textId="4BE06001" w:rsidR="009655AA" w:rsidRPr="006450FB" w:rsidRDefault="009655AA" w:rsidP="00ED7DEC">
      <w:pPr>
        <w:pStyle w:val="QuoteLR"/>
        <w:rPr>
          <w:rFonts w:asciiTheme="minorHAnsi" w:hAnsiTheme="minorHAnsi" w:cstheme="minorHAnsi"/>
          <w:b/>
          <w:bCs/>
        </w:rPr>
      </w:pPr>
      <w:r w:rsidRPr="006450FB">
        <w:rPr>
          <w:rFonts w:asciiTheme="minorHAnsi" w:hAnsiTheme="minorHAnsi" w:cstheme="minorHAnsi"/>
          <w:b/>
          <w:bCs/>
        </w:rPr>
        <w:t>Application of Act to the Crown</w:t>
      </w:r>
    </w:p>
    <w:p w14:paraId="162CFB87" w14:textId="1CE27D26" w:rsidR="009655AA" w:rsidRPr="006450FB" w:rsidRDefault="009655AA" w:rsidP="00ED7DEC">
      <w:pPr>
        <w:pStyle w:val="QuoteLR"/>
        <w:numPr>
          <w:ilvl w:val="0"/>
          <w:numId w:val="17"/>
        </w:numPr>
        <w:rPr>
          <w:rFonts w:asciiTheme="minorHAnsi" w:hAnsiTheme="minorHAnsi" w:cstheme="minorHAnsi"/>
        </w:rPr>
      </w:pPr>
      <w:r w:rsidRPr="006450FB">
        <w:rPr>
          <w:rFonts w:asciiTheme="minorHAnsi" w:hAnsiTheme="minorHAnsi" w:cstheme="minorHAnsi"/>
        </w:rPr>
        <w:t>Subject to this section, this Act shall bind the Crown in so far as the Crown engages</w:t>
      </w:r>
      <w:r w:rsidR="009A76E5" w:rsidRPr="006450FB">
        <w:rPr>
          <w:rFonts w:asciiTheme="minorHAnsi" w:hAnsiTheme="minorHAnsi" w:cstheme="minorHAnsi"/>
        </w:rPr>
        <w:t xml:space="preserve"> </w:t>
      </w:r>
      <w:r w:rsidRPr="006450FB">
        <w:rPr>
          <w:rFonts w:asciiTheme="minorHAnsi" w:hAnsiTheme="minorHAnsi" w:cstheme="minorHAnsi"/>
        </w:rPr>
        <w:t>in trade.</w:t>
      </w:r>
    </w:p>
    <w:p w14:paraId="41133A8F" w14:textId="787C06B7" w:rsidR="009655AA" w:rsidRPr="006450FB" w:rsidRDefault="009655AA" w:rsidP="00ED7DEC">
      <w:pPr>
        <w:pStyle w:val="QuoteLR"/>
        <w:numPr>
          <w:ilvl w:val="0"/>
          <w:numId w:val="17"/>
        </w:numPr>
        <w:rPr>
          <w:rFonts w:asciiTheme="minorHAnsi" w:hAnsiTheme="minorHAnsi" w:cstheme="minorHAnsi"/>
        </w:rPr>
      </w:pPr>
      <w:r w:rsidRPr="006450FB">
        <w:rPr>
          <w:rFonts w:asciiTheme="minorHAnsi" w:hAnsiTheme="minorHAnsi" w:cstheme="minorHAnsi"/>
        </w:rPr>
        <w:t>The Crown shall not be liable to pay a pecuniary penalty under section 80.</w:t>
      </w:r>
    </w:p>
    <w:p w14:paraId="1F832FFE" w14:textId="491A83E8" w:rsidR="009655AA" w:rsidRPr="006450FB" w:rsidRDefault="009655AA" w:rsidP="00ED7DEC">
      <w:pPr>
        <w:pStyle w:val="QuoteLR"/>
        <w:numPr>
          <w:ilvl w:val="0"/>
          <w:numId w:val="17"/>
        </w:numPr>
        <w:rPr>
          <w:rFonts w:asciiTheme="minorHAnsi" w:hAnsiTheme="minorHAnsi" w:cstheme="minorHAnsi"/>
        </w:rPr>
      </w:pPr>
      <w:r w:rsidRPr="006450FB">
        <w:rPr>
          <w:rFonts w:asciiTheme="minorHAnsi" w:hAnsiTheme="minorHAnsi" w:cstheme="minorHAnsi"/>
        </w:rPr>
        <w:t>The Crown shall not be liable to be prosecuted for an offence against this Act.</w:t>
      </w:r>
    </w:p>
    <w:p w14:paraId="2983B861" w14:textId="4707256C" w:rsidR="009A76E5" w:rsidRPr="006450FB" w:rsidRDefault="009655AA" w:rsidP="00ED7DEC">
      <w:pPr>
        <w:pStyle w:val="QuoteLR"/>
        <w:numPr>
          <w:ilvl w:val="0"/>
          <w:numId w:val="17"/>
        </w:numPr>
        <w:rPr>
          <w:rFonts w:asciiTheme="minorHAnsi" w:hAnsiTheme="minorHAnsi" w:cstheme="minorHAnsi"/>
        </w:rPr>
      </w:pPr>
      <w:r w:rsidRPr="006450FB">
        <w:rPr>
          <w:rFonts w:asciiTheme="minorHAnsi" w:hAnsiTheme="minorHAnsi" w:cstheme="minorHAnsi"/>
        </w:rPr>
        <w:t xml:space="preserve">Where it is alleged that the Crown has contravened any provision of this Act and that contravention constitutes an offence, the Commission or the person directly affected by the </w:t>
      </w:r>
      <w:r w:rsidRPr="006450FB">
        <w:rPr>
          <w:rFonts w:asciiTheme="minorHAnsi" w:hAnsiTheme="minorHAnsi" w:cstheme="minorHAnsi"/>
        </w:rPr>
        <w:lastRenderedPageBreak/>
        <w:t>contravention may apply to the court for a declaration that the Crown has contravened that provision; and, if the court is satisfied beyond a reasonable doubt that the Crown has contravened that provision, it may make a declaration accordingly.</w:t>
      </w:r>
    </w:p>
    <w:p w14:paraId="2F0F4293" w14:textId="77777777" w:rsidR="00ED7DEC" w:rsidRPr="006450FB" w:rsidRDefault="00ED7DEC" w:rsidP="00ED7DEC">
      <w:pPr>
        <w:pStyle w:val="QuoteLR"/>
        <w:ind w:left="0"/>
        <w:rPr>
          <w:rFonts w:asciiTheme="minorHAnsi" w:hAnsiTheme="minorHAnsi" w:cstheme="minorHAnsi"/>
        </w:rPr>
      </w:pPr>
    </w:p>
    <w:p w14:paraId="578FE8AA" w14:textId="1ADA254B" w:rsidR="006E5184" w:rsidRPr="006450FB" w:rsidRDefault="00C5301C" w:rsidP="00ED7DEC">
      <w:pPr>
        <w:pStyle w:val="TextnoindentLR"/>
        <w:rPr>
          <w:rFonts w:asciiTheme="minorHAnsi" w:hAnsiTheme="minorHAnsi" w:cstheme="minorHAnsi"/>
        </w:rPr>
      </w:pPr>
      <w:r w:rsidRPr="006450FB">
        <w:rPr>
          <w:rFonts w:asciiTheme="minorHAnsi" w:hAnsiTheme="minorHAnsi" w:cstheme="minorHAnsi"/>
        </w:rPr>
        <w:t>Section 6 of the Commerce Act provides that:</w:t>
      </w:r>
    </w:p>
    <w:p w14:paraId="34CEE8B8" w14:textId="77777777" w:rsidR="00ED7DEC" w:rsidRPr="006450FB" w:rsidRDefault="00ED7DEC" w:rsidP="00ED7DEC">
      <w:pPr>
        <w:pStyle w:val="TextindentedLR"/>
        <w:ind w:firstLine="0"/>
        <w:rPr>
          <w:rFonts w:asciiTheme="minorHAnsi" w:hAnsiTheme="minorHAnsi" w:cstheme="minorHAnsi"/>
        </w:rPr>
      </w:pPr>
    </w:p>
    <w:p w14:paraId="6A9953BE" w14:textId="77CE9F48" w:rsidR="0053071C" w:rsidRPr="006450FB" w:rsidRDefault="0053071C" w:rsidP="00ED7DEC">
      <w:pPr>
        <w:pStyle w:val="QuoteLR"/>
        <w:rPr>
          <w:rFonts w:asciiTheme="minorHAnsi" w:hAnsiTheme="minorHAnsi" w:cstheme="minorHAnsi"/>
          <w:b/>
          <w:bCs/>
        </w:rPr>
      </w:pPr>
      <w:r w:rsidRPr="006450FB">
        <w:rPr>
          <w:rFonts w:asciiTheme="minorHAnsi" w:hAnsiTheme="minorHAnsi" w:cstheme="minorHAnsi"/>
          <w:b/>
          <w:bCs/>
        </w:rPr>
        <w:t>Application of Act to Crown corporations</w:t>
      </w:r>
    </w:p>
    <w:p w14:paraId="70501F10" w14:textId="062D60B6" w:rsidR="0053071C" w:rsidRPr="006450FB" w:rsidRDefault="0053071C" w:rsidP="008829AB">
      <w:pPr>
        <w:pStyle w:val="QuoteLR"/>
        <w:numPr>
          <w:ilvl w:val="0"/>
          <w:numId w:val="19"/>
        </w:numPr>
        <w:ind w:left="709"/>
        <w:rPr>
          <w:rFonts w:asciiTheme="minorHAnsi" w:hAnsiTheme="minorHAnsi" w:cstheme="minorHAnsi"/>
        </w:rPr>
      </w:pPr>
      <w:r w:rsidRPr="006450FB">
        <w:rPr>
          <w:rFonts w:asciiTheme="minorHAnsi" w:hAnsiTheme="minorHAnsi" w:cstheme="minorHAnsi"/>
        </w:rPr>
        <w:t>This Act applies to every body corporate that is an instrument of the Crown in respect of the Government of New Zealand engaged in trade.</w:t>
      </w:r>
    </w:p>
    <w:p w14:paraId="16FF6AC1" w14:textId="0A46FD11" w:rsidR="006E5184" w:rsidRPr="006450FB" w:rsidRDefault="0053071C" w:rsidP="008829AB">
      <w:pPr>
        <w:pStyle w:val="QuoteLR"/>
        <w:numPr>
          <w:ilvl w:val="0"/>
          <w:numId w:val="19"/>
        </w:numPr>
        <w:ind w:left="709"/>
        <w:rPr>
          <w:rFonts w:asciiTheme="minorHAnsi" w:hAnsiTheme="minorHAnsi" w:cstheme="minorHAnsi"/>
        </w:rPr>
      </w:pPr>
      <w:r w:rsidRPr="006450FB">
        <w:rPr>
          <w:rFonts w:asciiTheme="minorHAnsi" w:hAnsiTheme="minorHAnsi" w:cstheme="minorHAnsi"/>
        </w:rPr>
        <w:t>Notwithstanding any enactment or rule of law, proceedings under Part 6 may be brought against a body corporate referred to in subsection (1).</w:t>
      </w:r>
    </w:p>
    <w:p w14:paraId="6E1383B7" w14:textId="77777777" w:rsidR="00ED7DEC" w:rsidRPr="006450FB" w:rsidRDefault="00ED7DEC" w:rsidP="00ED7DEC">
      <w:pPr>
        <w:pStyle w:val="QuoteLR"/>
        <w:ind w:left="0"/>
        <w:rPr>
          <w:rFonts w:asciiTheme="minorHAnsi" w:hAnsiTheme="minorHAnsi" w:cstheme="minorHAnsi"/>
        </w:rPr>
      </w:pPr>
    </w:p>
    <w:p w14:paraId="7FC26E81" w14:textId="17428228" w:rsidR="006E5184" w:rsidRPr="006450FB" w:rsidRDefault="008D0517" w:rsidP="00ED7DEC">
      <w:pPr>
        <w:pStyle w:val="TextnoindentLR"/>
        <w:rPr>
          <w:rFonts w:asciiTheme="minorHAnsi" w:hAnsiTheme="minorHAnsi" w:cstheme="minorHAnsi"/>
        </w:rPr>
      </w:pPr>
      <w:r w:rsidRPr="006450FB">
        <w:rPr>
          <w:rFonts w:asciiTheme="minorHAnsi" w:hAnsiTheme="minorHAnsi" w:cstheme="minorHAnsi"/>
        </w:rPr>
        <w:t xml:space="preserve">These exceptions were first added </w:t>
      </w:r>
      <w:r w:rsidR="00804107" w:rsidRPr="006450FB">
        <w:rPr>
          <w:rFonts w:asciiTheme="minorHAnsi" w:hAnsiTheme="minorHAnsi" w:cstheme="minorHAnsi"/>
        </w:rPr>
        <w:t>to the Commerce Act 1975</w:t>
      </w:r>
      <w:r w:rsidRPr="006450FB">
        <w:rPr>
          <w:rFonts w:asciiTheme="minorHAnsi" w:hAnsiTheme="minorHAnsi" w:cstheme="minorHAnsi"/>
        </w:rPr>
        <w:t xml:space="preserve"> by way of amendment in 1979. The purpose of the amendment</w:t>
      </w:r>
      <w:r w:rsidR="00804107" w:rsidRPr="006450FB">
        <w:rPr>
          <w:rFonts w:asciiTheme="minorHAnsi" w:hAnsiTheme="minorHAnsi" w:cstheme="minorHAnsi"/>
        </w:rPr>
        <w:t xml:space="preserve"> was</w:t>
      </w:r>
      <w:r w:rsidR="005F302F" w:rsidRPr="006450FB">
        <w:rPr>
          <w:rFonts w:asciiTheme="minorHAnsi" w:hAnsiTheme="minorHAnsi" w:cstheme="minorHAnsi"/>
        </w:rPr>
        <w:t>, succinctly put,</w:t>
      </w:r>
      <w:r w:rsidR="00804107" w:rsidRPr="006450FB">
        <w:rPr>
          <w:rFonts w:asciiTheme="minorHAnsi" w:hAnsiTheme="minorHAnsi" w:cstheme="minorHAnsi"/>
        </w:rPr>
        <w:t xml:space="preserve"> to ensure that “government corporations and departments that trade” came under the same legislation as other market participants.</w:t>
      </w:r>
      <w:bookmarkStart w:id="3" w:name="_Ref140929295"/>
      <w:r w:rsidR="00804107" w:rsidRPr="006450FB">
        <w:rPr>
          <w:rStyle w:val="FootnoteReference"/>
          <w:rFonts w:asciiTheme="minorHAnsi" w:hAnsiTheme="minorHAnsi" w:cstheme="minorHAnsi"/>
          <w:sz w:val="24"/>
          <w:szCs w:val="24"/>
        </w:rPr>
        <w:footnoteReference w:id="18"/>
      </w:r>
      <w:bookmarkEnd w:id="3"/>
      <w:r w:rsidR="00B02A1A" w:rsidRPr="006450FB">
        <w:rPr>
          <w:rFonts w:asciiTheme="minorHAnsi" w:hAnsiTheme="minorHAnsi" w:cstheme="minorHAnsi"/>
        </w:rPr>
        <w:t xml:space="preserve"> </w:t>
      </w:r>
      <w:r w:rsidR="00A45627" w:rsidRPr="006450FB">
        <w:rPr>
          <w:rFonts w:asciiTheme="minorHAnsi" w:hAnsiTheme="minorHAnsi" w:cstheme="minorHAnsi"/>
        </w:rPr>
        <w:t xml:space="preserve">Examples of conduct that led to the amendments included </w:t>
      </w:r>
      <w:r w:rsidR="001A18ED" w:rsidRPr="006450FB">
        <w:rPr>
          <w:rFonts w:asciiTheme="minorHAnsi" w:hAnsiTheme="minorHAnsi" w:cstheme="minorHAnsi"/>
        </w:rPr>
        <w:t xml:space="preserve">the State Coal Mine’s refusal to supply coal, and the involvement of the State Insurance Office in a </w:t>
      </w:r>
      <w:r w:rsidR="00021280" w:rsidRPr="006450FB">
        <w:rPr>
          <w:rFonts w:asciiTheme="minorHAnsi" w:hAnsiTheme="minorHAnsi" w:cstheme="minorHAnsi"/>
        </w:rPr>
        <w:t>“</w:t>
      </w:r>
      <w:r w:rsidR="001A18ED" w:rsidRPr="006450FB">
        <w:rPr>
          <w:rFonts w:asciiTheme="minorHAnsi" w:hAnsiTheme="minorHAnsi" w:cstheme="minorHAnsi"/>
        </w:rPr>
        <w:t>collective pricing</w:t>
      </w:r>
      <w:r w:rsidR="00021280" w:rsidRPr="006450FB">
        <w:rPr>
          <w:rFonts w:asciiTheme="minorHAnsi" w:hAnsiTheme="minorHAnsi" w:cstheme="minorHAnsi"/>
        </w:rPr>
        <w:t>”</w:t>
      </w:r>
      <w:r w:rsidR="001A18ED" w:rsidRPr="006450FB">
        <w:rPr>
          <w:rFonts w:asciiTheme="minorHAnsi" w:hAnsiTheme="minorHAnsi" w:cstheme="minorHAnsi"/>
        </w:rPr>
        <w:t xml:space="preserve"> agreement.</w:t>
      </w:r>
      <w:r w:rsidR="001A18ED" w:rsidRPr="006450FB">
        <w:rPr>
          <w:rStyle w:val="FootnoteReference"/>
          <w:rFonts w:asciiTheme="minorHAnsi" w:hAnsiTheme="minorHAnsi" w:cstheme="minorHAnsi"/>
          <w:sz w:val="24"/>
          <w:szCs w:val="24"/>
        </w:rPr>
        <w:footnoteReference w:id="19"/>
      </w:r>
      <w:r w:rsidR="002F053E" w:rsidRPr="006450FB">
        <w:rPr>
          <w:rFonts w:asciiTheme="minorHAnsi" w:hAnsiTheme="minorHAnsi" w:cstheme="minorHAnsi"/>
        </w:rPr>
        <w:t xml:space="preserve"> These provisions came not long after equivalent amendments had been made to the Trade Practices Act 197</w:t>
      </w:r>
      <w:r w:rsidR="00E73BE3" w:rsidRPr="006450FB">
        <w:rPr>
          <w:rFonts w:asciiTheme="minorHAnsi" w:hAnsiTheme="minorHAnsi" w:cstheme="minorHAnsi"/>
        </w:rPr>
        <w:t>4</w:t>
      </w:r>
      <w:r w:rsidR="002F053E" w:rsidRPr="006450FB">
        <w:rPr>
          <w:rFonts w:asciiTheme="minorHAnsi" w:hAnsiTheme="minorHAnsi" w:cstheme="minorHAnsi"/>
        </w:rPr>
        <w:t>, implementing the recommendations of the Swanson Report.</w:t>
      </w:r>
      <w:bookmarkStart w:id="4" w:name="_Ref136281492"/>
      <w:r w:rsidR="002F053E" w:rsidRPr="006450FB">
        <w:rPr>
          <w:rStyle w:val="FootnoteReference"/>
          <w:rFonts w:asciiTheme="minorHAnsi" w:hAnsiTheme="minorHAnsi" w:cstheme="minorHAnsi"/>
          <w:sz w:val="24"/>
          <w:szCs w:val="24"/>
        </w:rPr>
        <w:footnoteReference w:id="20"/>
      </w:r>
      <w:bookmarkEnd w:id="4"/>
      <w:r w:rsidR="00F13104" w:rsidRPr="006450FB">
        <w:rPr>
          <w:rFonts w:asciiTheme="minorHAnsi" w:hAnsiTheme="minorHAnsi" w:cstheme="minorHAnsi"/>
        </w:rPr>
        <w:t xml:space="preserve"> Th</w:t>
      </w:r>
      <w:r w:rsidR="00F96F5C" w:rsidRPr="006450FB">
        <w:rPr>
          <w:rFonts w:asciiTheme="minorHAnsi" w:hAnsiTheme="minorHAnsi" w:cstheme="minorHAnsi"/>
        </w:rPr>
        <w:t>at report took the view that</w:t>
      </w:r>
      <w:r w:rsidR="00F8713E" w:rsidRPr="006450FB">
        <w:rPr>
          <w:rFonts w:asciiTheme="minorHAnsi" w:hAnsiTheme="minorHAnsi" w:cstheme="minorHAnsi"/>
        </w:rPr>
        <w:t>:</w:t>
      </w:r>
      <w:r w:rsidR="00F8713E" w:rsidRPr="006450FB">
        <w:rPr>
          <w:rStyle w:val="FootnoteReference"/>
          <w:rFonts w:asciiTheme="minorHAnsi" w:hAnsiTheme="minorHAnsi" w:cstheme="minorHAnsi"/>
          <w:sz w:val="24"/>
          <w:szCs w:val="24"/>
        </w:rPr>
        <w:footnoteReference w:id="21"/>
      </w:r>
    </w:p>
    <w:p w14:paraId="7CD5D7D5" w14:textId="77777777" w:rsidR="00ED7DEC" w:rsidRPr="006450FB" w:rsidRDefault="00ED7DEC" w:rsidP="00ED7DEC">
      <w:pPr>
        <w:pStyle w:val="TextindentedLR"/>
        <w:ind w:firstLine="0"/>
        <w:rPr>
          <w:rFonts w:asciiTheme="minorHAnsi" w:hAnsiTheme="minorHAnsi" w:cstheme="minorHAnsi"/>
        </w:rPr>
      </w:pPr>
    </w:p>
    <w:p w14:paraId="2D2B5571" w14:textId="57ADFA99" w:rsidR="006E5184" w:rsidRPr="006450FB" w:rsidRDefault="00C64DB9" w:rsidP="00ED7DEC">
      <w:pPr>
        <w:pStyle w:val="QuoteLR"/>
        <w:rPr>
          <w:rFonts w:asciiTheme="minorHAnsi" w:hAnsiTheme="minorHAnsi" w:cstheme="minorHAnsi"/>
        </w:rPr>
      </w:pPr>
      <w:r w:rsidRPr="006450FB">
        <w:rPr>
          <w:rFonts w:asciiTheme="minorHAnsi" w:hAnsiTheme="minorHAnsi" w:cstheme="minorHAnsi"/>
        </w:rPr>
        <w:t xml:space="preserve">… </w:t>
      </w:r>
      <w:r w:rsidR="00C53A69" w:rsidRPr="006450FB">
        <w:rPr>
          <w:rFonts w:asciiTheme="minorHAnsi" w:hAnsiTheme="minorHAnsi" w:cstheme="minorHAnsi"/>
        </w:rPr>
        <w:t>the Commonwealth Government should be prepared to accept for itself, in relation to its commercial activities, restrictions which it places on others. The same standards of commercial conduct are clearly as appropriate for officers of the Government as for persons in a less protected position.</w:t>
      </w:r>
    </w:p>
    <w:p w14:paraId="2A3E2846" w14:textId="77777777" w:rsidR="00ED7DEC" w:rsidRPr="006450FB" w:rsidRDefault="00ED7DEC" w:rsidP="00ED7DEC">
      <w:pPr>
        <w:pStyle w:val="QuoteLR"/>
        <w:ind w:left="0"/>
        <w:rPr>
          <w:rFonts w:asciiTheme="minorHAnsi" w:hAnsiTheme="minorHAnsi" w:cstheme="minorHAnsi"/>
        </w:rPr>
      </w:pPr>
    </w:p>
    <w:p w14:paraId="4F8021C7" w14:textId="63DD8181" w:rsidR="00C07F43" w:rsidRPr="006450FB" w:rsidRDefault="003F7DBC" w:rsidP="00ED7DEC">
      <w:pPr>
        <w:pStyle w:val="TextnoindentLR"/>
        <w:rPr>
          <w:rFonts w:asciiTheme="minorHAnsi" w:hAnsiTheme="minorHAnsi" w:cstheme="minorHAnsi"/>
          <w:szCs w:val="24"/>
        </w:rPr>
      </w:pPr>
      <w:r w:rsidRPr="006450FB">
        <w:rPr>
          <w:rFonts w:asciiTheme="minorHAnsi" w:hAnsiTheme="minorHAnsi" w:cstheme="minorHAnsi"/>
        </w:rPr>
        <w:t>These provisions were in substance re-enacted in their present form in 1986</w:t>
      </w:r>
      <w:r w:rsidR="00E115C8" w:rsidRPr="006450FB">
        <w:rPr>
          <w:rFonts w:asciiTheme="minorHAnsi" w:hAnsiTheme="minorHAnsi" w:cstheme="minorHAnsi"/>
        </w:rPr>
        <w:t>.</w:t>
      </w:r>
    </w:p>
    <w:p w14:paraId="7B8A597B" w14:textId="6FAEF9D6" w:rsidR="00C07F43" w:rsidRPr="006450FB" w:rsidRDefault="00416DF4" w:rsidP="00ED7DEC">
      <w:pPr>
        <w:pStyle w:val="TextindentedLR"/>
        <w:rPr>
          <w:rFonts w:asciiTheme="minorHAnsi" w:hAnsiTheme="minorHAnsi" w:cstheme="minorHAnsi"/>
          <w:szCs w:val="32"/>
        </w:rPr>
      </w:pPr>
      <w:r w:rsidRPr="006450FB">
        <w:rPr>
          <w:rFonts w:asciiTheme="minorHAnsi" w:hAnsiTheme="minorHAnsi" w:cstheme="minorHAnsi"/>
        </w:rPr>
        <w:t xml:space="preserve">The primary difference between </w:t>
      </w:r>
      <w:r w:rsidR="008D0517" w:rsidRPr="006450FB">
        <w:rPr>
          <w:rFonts w:asciiTheme="minorHAnsi" w:hAnsiTheme="minorHAnsi" w:cstheme="minorHAnsi"/>
        </w:rPr>
        <w:t xml:space="preserve">the </w:t>
      </w:r>
      <w:r w:rsidRPr="006450FB">
        <w:rPr>
          <w:rFonts w:asciiTheme="minorHAnsi" w:hAnsiTheme="minorHAnsi" w:cstheme="minorHAnsi"/>
        </w:rPr>
        <w:t>s 5 and s 6 exception</w:t>
      </w:r>
      <w:r w:rsidR="008D0517" w:rsidRPr="006450FB">
        <w:rPr>
          <w:rFonts w:asciiTheme="minorHAnsi" w:hAnsiTheme="minorHAnsi" w:cstheme="minorHAnsi"/>
        </w:rPr>
        <w:t>s</w:t>
      </w:r>
      <w:r w:rsidRPr="006450FB">
        <w:rPr>
          <w:rFonts w:asciiTheme="minorHAnsi" w:hAnsiTheme="minorHAnsi" w:cstheme="minorHAnsi"/>
        </w:rPr>
        <w:t xml:space="preserve"> is that the Crown, even when subject to the </w:t>
      </w:r>
      <w:r w:rsidR="00047A66" w:rsidRPr="006450FB">
        <w:rPr>
          <w:rFonts w:asciiTheme="minorHAnsi" w:hAnsiTheme="minorHAnsi" w:cstheme="minorHAnsi"/>
        </w:rPr>
        <w:t xml:space="preserve">Commerce </w:t>
      </w:r>
      <w:r w:rsidRPr="006450FB">
        <w:rPr>
          <w:rFonts w:asciiTheme="minorHAnsi" w:hAnsiTheme="minorHAnsi" w:cstheme="minorHAnsi"/>
        </w:rPr>
        <w:t>Act, is not subject to a civil pecuniary penalty or prosecution for an offence.</w:t>
      </w:r>
      <w:r w:rsidR="00726206" w:rsidRPr="006450FB">
        <w:rPr>
          <w:rStyle w:val="FootnoteReference"/>
          <w:rFonts w:asciiTheme="minorHAnsi" w:hAnsiTheme="minorHAnsi" w:cstheme="minorHAnsi"/>
          <w:sz w:val="24"/>
          <w:szCs w:val="24"/>
        </w:rPr>
        <w:footnoteReference w:id="22"/>
      </w:r>
      <w:r w:rsidRPr="006450FB">
        <w:rPr>
          <w:rFonts w:asciiTheme="minorHAnsi" w:hAnsiTheme="minorHAnsi" w:cstheme="minorHAnsi"/>
        </w:rPr>
        <w:t xml:space="preserve"> Crown corporations are. </w:t>
      </w:r>
      <w:r w:rsidR="00DF6BA4" w:rsidRPr="006450FB">
        <w:rPr>
          <w:rFonts w:asciiTheme="minorHAnsi" w:hAnsiTheme="minorHAnsi" w:cstheme="minorHAnsi"/>
          <w:szCs w:val="32"/>
        </w:rPr>
        <w:t>These exceptions do not, on their face, exten</w:t>
      </w:r>
      <w:r w:rsidR="00AB1156" w:rsidRPr="006450FB">
        <w:rPr>
          <w:rFonts w:asciiTheme="minorHAnsi" w:hAnsiTheme="minorHAnsi" w:cstheme="minorHAnsi"/>
          <w:szCs w:val="32"/>
        </w:rPr>
        <w:t>d</w:t>
      </w:r>
      <w:r w:rsidR="00DF6BA4" w:rsidRPr="006450FB">
        <w:rPr>
          <w:rFonts w:asciiTheme="minorHAnsi" w:hAnsiTheme="minorHAnsi" w:cstheme="minorHAnsi"/>
          <w:szCs w:val="32"/>
        </w:rPr>
        <w:t xml:space="preserve"> to</w:t>
      </w:r>
      <w:r w:rsidR="006268B7" w:rsidRPr="006450FB">
        <w:rPr>
          <w:rFonts w:asciiTheme="minorHAnsi" w:hAnsiTheme="minorHAnsi" w:cstheme="minorHAnsi"/>
          <w:szCs w:val="32"/>
        </w:rPr>
        <w:t xml:space="preserve"> officers and</w:t>
      </w:r>
      <w:r w:rsidRPr="006450FB">
        <w:rPr>
          <w:rFonts w:asciiTheme="minorHAnsi" w:hAnsiTheme="minorHAnsi" w:cstheme="minorHAnsi"/>
          <w:szCs w:val="32"/>
        </w:rPr>
        <w:t xml:space="preserve"> employees of the Crown</w:t>
      </w:r>
      <w:r w:rsidR="00DF6BA4" w:rsidRPr="006450FB">
        <w:rPr>
          <w:rFonts w:asciiTheme="minorHAnsi" w:hAnsiTheme="minorHAnsi" w:cstheme="minorHAnsi"/>
          <w:szCs w:val="32"/>
        </w:rPr>
        <w:t xml:space="preserve"> or Crown corporations</w:t>
      </w:r>
      <w:r w:rsidR="00EE76CB" w:rsidRPr="006450FB">
        <w:rPr>
          <w:rFonts w:asciiTheme="minorHAnsi" w:hAnsiTheme="minorHAnsi" w:cstheme="minorHAnsi"/>
          <w:szCs w:val="32"/>
        </w:rPr>
        <w:t xml:space="preserve">, instead relying on more general </w:t>
      </w:r>
      <w:r w:rsidR="0080514F" w:rsidRPr="006450FB">
        <w:rPr>
          <w:rFonts w:asciiTheme="minorHAnsi" w:hAnsiTheme="minorHAnsi" w:cstheme="minorHAnsi"/>
          <w:szCs w:val="32"/>
        </w:rPr>
        <w:t xml:space="preserve">statutory </w:t>
      </w:r>
      <w:r w:rsidR="00EE76CB" w:rsidRPr="006450FB">
        <w:rPr>
          <w:rFonts w:asciiTheme="minorHAnsi" w:hAnsiTheme="minorHAnsi" w:cstheme="minorHAnsi"/>
          <w:szCs w:val="32"/>
        </w:rPr>
        <w:t>immunities</w:t>
      </w:r>
      <w:r w:rsidR="00B91C77" w:rsidRPr="006450FB">
        <w:rPr>
          <w:rFonts w:asciiTheme="minorHAnsi" w:hAnsiTheme="minorHAnsi" w:cstheme="minorHAnsi"/>
          <w:szCs w:val="32"/>
        </w:rPr>
        <w:t xml:space="preserve"> </w:t>
      </w:r>
      <w:r w:rsidR="0068180E" w:rsidRPr="006450FB">
        <w:rPr>
          <w:rFonts w:asciiTheme="minorHAnsi" w:hAnsiTheme="minorHAnsi" w:cstheme="minorHAnsi"/>
          <w:szCs w:val="32"/>
        </w:rPr>
        <w:t>for good faith actions undertaken by such officers and employees</w:t>
      </w:r>
      <w:r w:rsidR="00DF6BA4" w:rsidRPr="006450FB">
        <w:rPr>
          <w:rFonts w:asciiTheme="minorHAnsi" w:hAnsiTheme="minorHAnsi" w:cstheme="minorHAnsi"/>
          <w:szCs w:val="32"/>
        </w:rPr>
        <w:t>.</w:t>
      </w:r>
      <w:r w:rsidR="0080514F" w:rsidRPr="006450FB">
        <w:rPr>
          <w:rStyle w:val="FootnoteReference"/>
          <w:rFonts w:asciiTheme="minorHAnsi" w:hAnsiTheme="minorHAnsi" w:cstheme="minorHAnsi"/>
          <w:sz w:val="24"/>
          <w:szCs w:val="32"/>
        </w:rPr>
        <w:footnoteReference w:id="23"/>
      </w:r>
    </w:p>
    <w:p w14:paraId="26F2B34A" w14:textId="38FB180B" w:rsidR="00C07F43" w:rsidRPr="006450FB" w:rsidRDefault="009C12C7" w:rsidP="00ED7DEC">
      <w:pPr>
        <w:pStyle w:val="TextindentedLR"/>
        <w:rPr>
          <w:rFonts w:asciiTheme="minorHAnsi" w:hAnsiTheme="minorHAnsi" w:cstheme="minorHAnsi"/>
          <w:szCs w:val="32"/>
        </w:rPr>
      </w:pPr>
      <w:r w:rsidRPr="006450FB">
        <w:rPr>
          <w:rFonts w:asciiTheme="minorHAnsi" w:hAnsiTheme="minorHAnsi" w:cstheme="minorHAnsi"/>
          <w:szCs w:val="32"/>
        </w:rPr>
        <w:t>Although it has not been judicially tested</w:t>
      </w:r>
      <w:r w:rsidR="00F412CE" w:rsidRPr="006450FB">
        <w:rPr>
          <w:rFonts w:asciiTheme="minorHAnsi" w:hAnsiTheme="minorHAnsi" w:cstheme="minorHAnsi"/>
          <w:szCs w:val="32"/>
        </w:rPr>
        <w:t xml:space="preserve"> in New Zealand</w:t>
      </w:r>
      <w:r w:rsidRPr="006450FB">
        <w:rPr>
          <w:rFonts w:asciiTheme="minorHAnsi" w:hAnsiTheme="minorHAnsi" w:cstheme="minorHAnsi"/>
          <w:szCs w:val="32"/>
        </w:rPr>
        <w:t xml:space="preserve">, it has been suggested that where the Crown is a party to </w:t>
      </w:r>
      <w:r w:rsidR="007F4537" w:rsidRPr="006450FB">
        <w:rPr>
          <w:rFonts w:asciiTheme="minorHAnsi" w:hAnsiTheme="minorHAnsi" w:cstheme="minorHAnsi"/>
          <w:szCs w:val="32"/>
        </w:rPr>
        <w:t>an agreement or understanding that contr</w:t>
      </w:r>
      <w:r w:rsidR="00246C7F" w:rsidRPr="006450FB">
        <w:rPr>
          <w:rFonts w:asciiTheme="minorHAnsi" w:hAnsiTheme="minorHAnsi" w:cstheme="minorHAnsi"/>
          <w:szCs w:val="32"/>
        </w:rPr>
        <w:t xml:space="preserve">avenes the </w:t>
      </w:r>
      <w:r w:rsidR="00047A66" w:rsidRPr="006450FB">
        <w:rPr>
          <w:rFonts w:asciiTheme="minorHAnsi" w:hAnsiTheme="minorHAnsi" w:cstheme="minorHAnsi"/>
          <w:szCs w:val="32"/>
        </w:rPr>
        <w:t xml:space="preserve">Commerce </w:t>
      </w:r>
      <w:r w:rsidR="00246C7F" w:rsidRPr="006450FB">
        <w:rPr>
          <w:rFonts w:asciiTheme="minorHAnsi" w:hAnsiTheme="minorHAnsi" w:cstheme="minorHAnsi"/>
          <w:szCs w:val="32"/>
        </w:rPr>
        <w:t>Act</w:t>
      </w:r>
      <w:r w:rsidRPr="006450FB">
        <w:rPr>
          <w:rFonts w:asciiTheme="minorHAnsi" w:hAnsiTheme="minorHAnsi" w:cstheme="minorHAnsi"/>
          <w:szCs w:val="32"/>
        </w:rPr>
        <w:t xml:space="preserve">, other parties to the practice may be found liable even though the Crown </w:t>
      </w:r>
      <w:r w:rsidR="00246C7F" w:rsidRPr="006450FB">
        <w:rPr>
          <w:rFonts w:asciiTheme="minorHAnsi" w:hAnsiTheme="minorHAnsi" w:cstheme="minorHAnsi"/>
          <w:szCs w:val="32"/>
        </w:rPr>
        <w:t>will not.</w:t>
      </w:r>
      <w:bookmarkStart w:id="5" w:name="_Ref140928667"/>
      <w:r w:rsidR="0067767A" w:rsidRPr="006450FB">
        <w:rPr>
          <w:rStyle w:val="FootnoteReference"/>
          <w:rFonts w:asciiTheme="minorHAnsi" w:hAnsiTheme="minorHAnsi" w:cstheme="minorHAnsi"/>
          <w:sz w:val="24"/>
          <w:szCs w:val="32"/>
        </w:rPr>
        <w:footnoteReference w:id="24"/>
      </w:r>
      <w:bookmarkEnd w:id="5"/>
    </w:p>
    <w:p w14:paraId="4911FA90" w14:textId="549E4A6A" w:rsidR="00C07F43" w:rsidRPr="006450FB" w:rsidRDefault="00E10097" w:rsidP="00ED7DEC">
      <w:pPr>
        <w:pStyle w:val="TextindentedLR"/>
        <w:rPr>
          <w:rFonts w:asciiTheme="minorHAnsi" w:hAnsiTheme="minorHAnsi" w:cstheme="minorHAnsi"/>
          <w:szCs w:val="32"/>
        </w:rPr>
      </w:pPr>
      <w:r w:rsidRPr="006450FB">
        <w:rPr>
          <w:rFonts w:asciiTheme="minorHAnsi" w:hAnsiTheme="minorHAnsi" w:cstheme="minorHAnsi"/>
          <w:szCs w:val="32"/>
        </w:rPr>
        <w:t xml:space="preserve">Consideration of the scope of the Crown exception would not be </w:t>
      </w:r>
      <w:r w:rsidR="00324437" w:rsidRPr="006450FB">
        <w:rPr>
          <w:rFonts w:asciiTheme="minorHAnsi" w:hAnsiTheme="minorHAnsi" w:cstheme="minorHAnsi"/>
          <w:szCs w:val="32"/>
        </w:rPr>
        <w:t>complete without referring to s</w:t>
      </w:r>
      <w:r w:rsidR="00C5301C" w:rsidRPr="006450FB">
        <w:rPr>
          <w:rFonts w:asciiTheme="minorHAnsi" w:hAnsiTheme="minorHAnsi" w:cstheme="minorHAnsi"/>
          <w:szCs w:val="32"/>
        </w:rPr>
        <w:t xml:space="preserve"> 43 of the Commerce Act</w:t>
      </w:r>
      <w:r w:rsidR="00324437" w:rsidRPr="006450FB">
        <w:rPr>
          <w:rFonts w:asciiTheme="minorHAnsi" w:hAnsiTheme="minorHAnsi" w:cstheme="minorHAnsi"/>
          <w:szCs w:val="32"/>
        </w:rPr>
        <w:t xml:space="preserve">, which in practice </w:t>
      </w:r>
      <w:r w:rsidR="00416DF4" w:rsidRPr="006450FB">
        <w:rPr>
          <w:rFonts w:asciiTheme="minorHAnsi" w:hAnsiTheme="minorHAnsi" w:cstheme="minorHAnsi"/>
          <w:szCs w:val="32"/>
        </w:rPr>
        <w:t xml:space="preserve">will </w:t>
      </w:r>
      <w:r w:rsidR="00324437" w:rsidRPr="006450FB">
        <w:rPr>
          <w:rFonts w:asciiTheme="minorHAnsi" w:hAnsiTheme="minorHAnsi" w:cstheme="minorHAnsi"/>
          <w:szCs w:val="32"/>
        </w:rPr>
        <w:t>often</w:t>
      </w:r>
      <w:r w:rsidR="00416DF4" w:rsidRPr="006450FB">
        <w:rPr>
          <w:rFonts w:asciiTheme="minorHAnsi" w:hAnsiTheme="minorHAnsi" w:cstheme="minorHAnsi"/>
          <w:szCs w:val="32"/>
        </w:rPr>
        <w:t xml:space="preserve"> apply to government actions. Section 43</w:t>
      </w:r>
      <w:r w:rsidR="00AE4231" w:rsidRPr="006450FB">
        <w:rPr>
          <w:rFonts w:asciiTheme="minorHAnsi" w:hAnsiTheme="minorHAnsi" w:cstheme="minorHAnsi"/>
          <w:szCs w:val="32"/>
        </w:rPr>
        <w:t xml:space="preserve"> relevantly</w:t>
      </w:r>
      <w:r w:rsidR="00C5301C" w:rsidRPr="006450FB">
        <w:rPr>
          <w:rFonts w:asciiTheme="minorHAnsi" w:hAnsiTheme="minorHAnsi" w:cstheme="minorHAnsi"/>
          <w:szCs w:val="32"/>
        </w:rPr>
        <w:t xml:space="preserve"> provides that:</w:t>
      </w:r>
    </w:p>
    <w:p w14:paraId="648647ED" w14:textId="77777777" w:rsidR="00ED7DEC" w:rsidRPr="006450FB" w:rsidRDefault="00ED7DEC" w:rsidP="00ED7DEC">
      <w:pPr>
        <w:pStyle w:val="TextindentedLR"/>
        <w:ind w:firstLine="0"/>
        <w:rPr>
          <w:rFonts w:asciiTheme="minorHAnsi" w:hAnsiTheme="minorHAnsi" w:cstheme="minorHAnsi"/>
          <w:szCs w:val="32"/>
        </w:rPr>
      </w:pPr>
    </w:p>
    <w:p w14:paraId="0078DC22" w14:textId="21D39E78" w:rsidR="00AE4231" w:rsidRPr="006450FB" w:rsidRDefault="00AE4231" w:rsidP="002B551D">
      <w:pPr>
        <w:pStyle w:val="QuoteLR"/>
        <w:keepNext/>
        <w:rPr>
          <w:rFonts w:asciiTheme="minorHAnsi" w:hAnsiTheme="minorHAnsi" w:cstheme="minorHAnsi"/>
          <w:b/>
          <w:bCs/>
        </w:rPr>
      </w:pPr>
      <w:r w:rsidRPr="006450FB">
        <w:rPr>
          <w:rFonts w:asciiTheme="minorHAnsi" w:hAnsiTheme="minorHAnsi" w:cstheme="minorHAnsi"/>
          <w:b/>
          <w:bCs/>
        </w:rPr>
        <w:lastRenderedPageBreak/>
        <w:t>Statutory exceptions</w:t>
      </w:r>
    </w:p>
    <w:p w14:paraId="52835845" w14:textId="74FC75C4" w:rsidR="00AE4231" w:rsidRPr="006450FB" w:rsidRDefault="00AE4231" w:rsidP="006450FB">
      <w:pPr>
        <w:pStyle w:val="QuoteLR"/>
        <w:numPr>
          <w:ilvl w:val="0"/>
          <w:numId w:val="21"/>
        </w:numPr>
        <w:ind w:left="709"/>
        <w:rPr>
          <w:rFonts w:asciiTheme="minorHAnsi" w:hAnsiTheme="minorHAnsi" w:cstheme="minorHAnsi"/>
        </w:rPr>
      </w:pPr>
      <w:r w:rsidRPr="006450FB">
        <w:rPr>
          <w:rFonts w:asciiTheme="minorHAnsi" w:hAnsiTheme="minorHAnsi" w:cstheme="minorHAnsi"/>
        </w:rPr>
        <w:t>Nothing in this Part applies in respect of any act, matter, or thing that is, or is of a kind, specifically authorised by any enactment or Order in Council made under any Act.</w:t>
      </w:r>
    </w:p>
    <w:p w14:paraId="40A5C6AA" w14:textId="7B258921" w:rsidR="00C07F43" w:rsidRPr="006450FB" w:rsidRDefault="00AE4231" w:rsidP="006450FB">
      <w:pPr>
        <w:pStyle w:val="QuoteLR"/>
        <w:numPr>
          <w:ilvl w:val="0"/>
          <w:numId w:val="21"/>
        </w:numPr>
        <w:ind w:left="709"/>
        <w:rPr>
          <w:rFonts w:asciiTheme="minorHAnsi" w:hAnsiTheme="minorHAnsi" w:cstheme="minorHAnsi"/>
        </w:rPr>
      </w:pPr>
      <w:r w:rsidRPr="006450FB">
        <w:rPr>
          <w:rFonts w:asciiTheme="minorHAnsi" w:hAnsiTheme="minorHAnsi" w:cstheme="minorHAnsi"/>
        </w:rPr>
        <w:t>For the purposes of subsection (1), an enactment or Order in Council does not provide specific authority for an act, matter, or thing if it provides in general terms for that act, matter, or thing, notwithstanding that the act, matter, or thing requires or may be subject to approval or authorisation by a Minister of the Crown, statutory body or a person holding any particular office, or, in the case of a rule made or an act, matter, or thing done pursuant to any enactment, approval or authorisation by Order in Council.</w:t>
      </w:r>
    </w:p>
    <w:p w14:paraId="5B708EE1" w14:textId="77777777" w:rsidR="00ED7DEC" w:rsidRPr="006450FB" w:rsidRDefault="00ED7DEC" w:rsidP="00ED7DEC">
      <w:pPr>
        <w:pStyle w:val="QuoteLR"/>
        <w:ind w:left="0"/>
        <w:rPr>
          <w:rFonts w:asciiTheme="minorHAnsi" w:hAnsiTheme="minorHAnsi" w:cstheme="minorHAnsi"/>
        </w:rPr>
      </w:pPr>
    </w:p>
    <w:p w14:paraId="3B140C67" w14:textId="6D87FCF0" w:rsidR="00C07F43" w:rsidRPr="006450FB" w:rsidRDefault="0019042F" w:rsidP="00ED7DEC">
      <w:pPr>
        <w:pStyle w:val="TextnoindentLR"/>
        <w:rPr>
          <w:rFonts w:asciiTheme="minorHAnsi" w:hAnsiTheme="minorHAnsi" w:cstheme="minorHAnsi"/>
        </w:rPr>
      </w:pPr>
      <w:r w:rsidRPr="006450FB">
        <w:rPr>
          <w:rFonts w:asciiTheme="minorHAnsi" w:hAnsiTheme="minorHAnsi" w:cstheme="minorHAnsi"/>
        </w:rPr>
        <w:t xml:space="preserve">Section 43 provides that </w:t>
      </w:r>
      <w:r w:rsidR="00C64DB9" w:rsidRPr="006450FB">
        <w:rPr>
          <w:rFonts w:asciiTheme="minorHAnsi" w:hAnsiTheme="minorHAnsi" w:cstheme="minorHAnsi"/>
        </w:rPr>
        <w:t>pt</w:t>
      </w:r>
      <w:r w:rsidRPr="006450FB">
        <w:rPr>
          <w:rFonts w:asciiTheme="minorHAnsi" w:hAnsiTheme="minorHAnsi" w:cstheme="minorHAnsi"/>
        </w:rPr>
        <w:t xml:space="preserve"> 2 of the </w:t>
      </w:r>
      <w:r w:rsidR="00317CE7" w:rsidRPr="006450FB">
        <w:rPr>
          <w:rFonts w:asciiTheme="minorHAnsi" w:hAnsiTheme="minorHAnsi" w:cstheme="minorHAnsi"/>
        </w:rPr>
        <w:t xml:space="preserve">Commerce </w:t>
      </w:r>
      <w:r w:rsidRPr="006450FB">
        <w:rPr>
          <w:rFonts w:asciiTheme="minorHAnsi" w:hAnsiTheme="minorHAnsi" w:cstheme="minorHAnsi"/>
        </w:rPr>
        <w:t>Act</w:t>
      </w:r>
      <w:r w:rsidR="009F41A5" w:rsidRPr="006450FB">
        <w:rPr>
          <w:rFonts w:asciiTheme="minorHAnsi" w:hAnsiTheme="minorHAnsi" w:cstheme="minorHAnsi"/>
        </w:rPr>
        <w:t xml:space="preserve">, which contains </w:t>
      </w:r>
      <w:r w:rsidR="002711A3" w:rsidRPr="006450FB">
        <w:rPr>
          <w:rFonts w:asciiTheme="minorHAnsi" w:hAnsiTheme="minorHAnsi" w:cstheme="minorHAnsi"/>
        </w:rPr>
        <w:t>the prohibition on restrictive trade practices,</w:t>
      </w:r>
      <w:r w:rsidRPr="006450FB">
        <w:rPr>
          <w:rFonts w:asciiTheme="minorHAnsi" w:hAnsiTheme="minorHAnsi" w:cstheme="minorHAnsi"/>
        </w:rPr>
        <w:t xml:space="preserve"> does not apply to any act, </w:t>
      </w:r>
      <w:r w:rsidR="00BA51B8" w:rsidRPr="006450FB">
        <w:rPr>
          <w:rFonts w:asciiTheme="minorHAnsi" w:hAnsiTheme="minorHAnsi" w:cstheme="minorHAnsi"/>
        </w:rPr>
        <w:t>matter,</w:t>
      </w:r>
      <w:r w:rsidRPr="006450FB">
        <w:rPr>
          <w:rFonts w:asciiTheme="minorHAnsi" w:hAnsiTheme="minorHAnsi" w:cstheme="minorHAnsi"/>
        </w:rPr>
        <w:t xml:space="preserve"> or thing that “is, or is of a kind, specifically authorised by any enactment</w:t>
      </w:r>
      <w:r w:rsidR="008D0517" w:rsidRPr="006450FB">
        <w:rPr>
          <w:rFonts w:asciiTheme="minorHAnsi" w:hAnsiTheme="minorHAnsi" w:cstheme="minorHAnsi"/>
        </w:rPr>
        <w:t>”</w:t>
      </w:r>
      <w:r w:rsidRPr="006450FB">
        <w:rPr>
          <w:rFonts w:asciiTheme="minorHAnsi" w:hAnsiTheme="minorHAnsi" w:cstheme="minorHAnsi"/>
        </w:rPr>
        <w:t>.</w:t>
      </w:r>
      <w:r w:rsidR="00D167F7" w:rsidRPr="006450FB">
        <w:rPr>
          <w:rStyle w:val="FootnoteReference"/>
          <w:rFonts w:asciiTheme="minorHAnsi" w:hAnsiTheme="minorHAnsi" w:cstheme="minorHAnsi"/>
          <w:sz w:val="24"/>
          <w:szCs w:val="32"/>
        </w:rPr>
        <w:footnoteReference w:id="25"/>
      </w:r>
      <w:r w:rsidR="00B02B1A" w:rsidRPr="006450FB">
        <w:rPr>
          <w:rFonts w:asciiTheme="minorHAnsi" w:hAnsiTheme="minorHAnsi" w:cstheme="minorHAnsi"/>
        </w:rPr>
        <w:t xml:space="preserve"> </w:t>
      </w:r>
      <w:r w:rsidR="00FE6B2F" w:rsidRPr="006450FB">
        <w:rPr>
          <w:rFonts w:asciiTheme="minorHAnsi" w:hAnsiTheme="minorHAnsi" w:cstheme="minorHAnsi"/>
        </w:rPr>
        <w:t>T</w:t>
      </w:r>
      <w:r w:rsidRPr="006450FB">
        <w:rPr>
          <w:rFonts w:asciiTheme="minorHAnsi" w:hAnsiTheme="minorHAnsi" w:cstheme="minorHAnsi"/>
        </w:rPr>
        <w:t xml:space="preserve">he </w:t>
      </w:r>
      <w:r w:rsidR="003B27FC" w:rsidRPr="006450FB">
        <w:rPr>
          <w:rFonts w:asciiTheme="minorHAnsi" w:hAnsiTheme="minorHAnsi" w:cstheme="minorHAnsi"/>
        </w:rPr>
        <w:t>Privy Council</w:t>
      </w:r>
      <w:r w:rsidRPr="006450FB">
        <w:rPr>
          <w:rFonts w:asciiTheme="minorHAnsi" w:hAnsiTheme="minorHAnsi" w:cstheme="minorHAnsi"/>
        </w:rPr>
        <w:t xml:space="preserve"> </w:t>
      </w:r>
      <w:r w:rsidR="00214177" w:rsidRPr="006450FB">
        <w:rPr>
          <w:rFonts w:asciiTheme="minorHAnsi" w:hAnsiTheme="minorHAnsi" w:cstheme="minorHAnsi"/>
        </w:rPr>
        <w:t xml:space="preserve">in </w:t>
      </w:r>
      <w:r w:rsidR="00E11DEA" w:rsidRPr="006450FB">
        <w:rPr>
          <w:rFonts w:asciiTheme="minorHAnsi" w:hAnsiTheme="minorHAnsi" w:cstheme="minorHAnsi"/>
          <w:i/>
          <w:iCs/>
        </w:rPr>
        <w:t>Apple Fields Ltd v New Zealand Apple and Pear Marketing Board</w:t>
      </w:r>
      <w:r w:rsidR="00E11DEA" w:rsidRPr="006450FB">
        <w:rPr>
          <w:rFonts w:asciiTheme="minorHAnsi" w:hAnsiTheme="minorHAnsi" w:cstheme="minorHAnsi"/>
        </w:rPr>
        <w:t xml:space="preserve"> </w:t>
      </w:r>
      <w:r w:rsidR="0089716D" w:rsidRPr="006450FB">
        <w:rPr>
          <w:rFonts w:asciiTheme="minorHAnsi" w:hAnsiTheme="minorHAnsi" w:cstheme="minorHAnsi"/>
        </w:rPr>
        <w:t xml:space="preserve">has made clear </w:t>
      </w:r>
      <w:r w:rsidRPr="006450FB">
        <w:rPr>
          <w:rFonts w:asciiTheme="minorHAnsi" w:hAnsiTheme="minorHAnsi" w:cstheme="minorHAnsi"/>
        </w:rPr>
        <w:t xml:space="preserve">that </w:t>
      </w:r>
      <w:r w:rsidRPr="006450FB">
        <w:rPr>
          <w:rFonts w:asciiTheme="minorHAnsi" w:hAnsiTheme="minorHAnsi" w:cstheme="minorHAnsi"/>
          <w:i/>
          <w:iCs/>
        </w:rPr>
        <w:t>specific</w:t>
      </w:r>
      <w:r w:rsidRPr="006450FB">
        <w:rPr>
          <w:rFonts w:asciiTheme="minorHAnsi" w:hAnsiTheme="minorHAnsi" w:cstheme="minorHAnsi"/>
        </w:rPr>
        <w:t xml:space="preserve"> authorisation means just that</w:t>
      </w:r>
      <w:r w:rsidR="0089716D" w:rsidRPr="006450FB">
        <w:rPr>
          <w:rFonts w:asciiTheme="minorHAnsi" w:hAnsiTheme="minorHAnsi" w:cstheme="minorHAnsi"/>
        </w:rPr>
        <w:t>.</w:t>
      </w:r>
      <w:bookmarkStart w:id="6" w:name="_Ref140922533"/>
      <w:r w:rsidR="00757CCB" w:rsidRPr="006450FB">
        <w:rPr>
          <w:rStyle w:val="FootnoteReference"/>
          <w:rFonts w:asciiTheme="minorHAnsi" w:hAnsiTheme="minorHAnsi" w:cstheme="minorHAnsi"/>
          <w:sz w:val="24"/>
          <w:szCs w:val="32"/>
        </w:rPr>
        <w:footnoteReference w:id="26"/>
      </w:r>
      <w:bookmarkEnd w:id="6"/>
    </w:p>
    <w:p w14:paraId="61AD4845" w14:textId="3DD93D13" w:rsidR="00C07F43" w:rsidRPr="006450FB" w:rsidRDefault="00DB5C74" w:rsidP="00ED7DEC">
      <w:pPr>
        <w:pStyle w:val="TextindentedLR"/>
        <w:rPr>
          <w:rFonts w:asciiTheme="minorHAnsi" w:hAnsiTheme="minorHAnsi" w:cstheme="minorHAnsi"/>
        </w:rPr>
      </w:pPr>
      <w:r w:rsidRPr="006450FB">
        <w:rPr>
          <w:rFonts w:asciiTheme="minorHAnsi" w:hAnsiTheme="minorHAnsi" w:cstheme="minorHAnsi"/>
        </w:rPr>
        <w:t>The Board</w:t>
      </w:r>
      <w:r w:rsidR="004B6055" w:rsidRPr="006450FB">
        <w:rPr>
          <w:rFonts w:asciiTheme="minorHAnsi" w:hAnsiTheme="minorHAnsi" w:cstheme="minorHAnsi"/>
        </w:rPr>
        <w:t xml:space="preserve"> </w:t>
      </w:r>
      <w:r w:rsidR="004B509C" w:rsidRPr="006450FB">
        <w:rPr>
          <w:rFonts w:asciiTheme="minorHAnsi" w:hAnsiTheme="minorHAnsi" w:cstheme="minorHAnsi"/>
        </w:rPr>
        <w:t xml:space="preserve">was the single desk seller of </w:t>
      </w:r>
      <w:r w:rsidR="005967C2" w:rsidRPr="006450FB">
        <w:rPr>
          <w:rFonts w:asciiTheme="minorHAnsi" w:hAnsiTheme="minorHAnsi" w:cstheme="minorHAnsi"/>
        </w:rPr>
        <w:t xml:space="preserve">apples and pears grown in New Zealand. </w:t>
      </w:r>
      <w:r w:rsidR="00834989" w:rsidRPr="006450FB">
        <w:rPr>
          <w:rFonts w:asciiTheme="minorHAnsi" w:hAnsiTheme="minorHAnsi" w:cstheme="minorHAnsi"/>
        </w:rPr>
        <w:t>It charged a levy on</w:t>
      </w:r>
      <w:r w:rsidR="00E26176" w:rsidRPr="006450FB">
        <w:rPr>
          <w:rFonts w:asciiTheme="minorHAnsi" w:hAnsiTheme="minorHAnsi" w:cstheme="minorHAnsi"/>
        </w:rPr>
        <w:t xml:space="preserve"> fruit supplied to it, </w:t>
      </w:r>
      <w:r w:rsidR="001E61E8" w:rsidRPr="006450FB">
        <w:rPr>
          <w:rFonts w:asciiTheme="minorHAnsi" w:hAnsiTheme="minorHAnsi" w:cstheme="minorHAnsi"/>
        </w:rPr>
        <w:t xml:space="preserve">and an additional levy on new suppliers or existing suppliers who expanded production. </w:t>
      </w:r>
      <w:r w:rsidR="002410C1" w:rsidRPr="006450FB">
        <w:rPr>
          <w:rFonts w:asciiTheme="minorHAnsi" w:hAnsiTheme="minorHAnsi" w:cstheme="minorHAnsi"/>
        </w:rPr>
        <w:t>The High Court found that the levy had the effect of substantially lessening competition</w:t>
      </w:r>
      <w:r w:rsidR="00AB181C" w:rsidRPr="006450FB">
        <w:rPr>
          <w:rFonts w:asciiTheme="minorHAnsi" w:hAnsiTheme="minorHAnsi" w:cstheme="minorHAnsi"/>
        </w:rPr>
        <w:t>.</w:t>
      </w:r>
      <w:r w:rsidR="00AB181C" w:rsidRPr="006450FB">
        <w:rPr>
          <w:rStyle w:val="FootnoteReference"/>
          <w:rFonts w:asciiTheme="minorHAnsi" w:hAnsiTheme="minorHAnsi" w:cstheme="minorHAnsi"/>
          <w:sz w:val="24"/>
          <w:szCs w:val="32"/>
        </w:rPr>
        <w:footnoteReference w:id="27"/>
      </w:r>
      <w:r w:rsidR="00604FF5" w:rsidRPr="006450FB">
        <w:rPr>
          <w:rFonts w:asciiTheme="minorHAnsi" w:hAnsiTheme="minorHAnsi" w:cstheme="minorHAnsi"/>
        </w:rPr>
        <w:t xml:space="preserve"> In the Court of Appeal, the Board raised s 43</w:t>
      </w:r>
      <w:r w:rsidR="00FE538B" w:rsidRPr="006450FB">
        <w:rPr>
          <w:rFonts w:asciiTheme="minorHAnsi" w:hAnsiTheme="minorHAnsi" w:cstheme="minorHAnsi"/>
        </w:rPr>
        <w:t xml:space="preserve"> for the first time</w:t>
      </w:r>
      <w:r w:rsidR="006B2C34" w:rsidRPr="006450FB">
        <w:rPr>
          <w:rFonts w:asciiTheme="minorHAnsi" w:hAnsiTheme="minorHAnsi" w:cstheme="minorHAnsi"/>
        </w:rPr>
        <w:t xml:space="preserve">, and </w:t>
      </w:r>
      <w:r w:rsidR="002711A3" w:rsidRPr="006450FB">
        <w:rPr>
          <w:rFonts w:asciiTheme="minorHAnsi" w:hAnsiTheme="minorHAnsi" w:cstheme="minorHAnsi"/>
        </w:rPr>
        <w:t xml:space="preserve">argued it had statutory authority to charge the </w:t>
      </w:r>
      <w:r w:rsidR="00521AFF" w:rsidRPr="006450FB">
        <w:rPr>
          <w:rFonts w:asciiTheme="minorHAnsi" w:hAnsiTheme="minorHAnsi" w:cstheme="minorHAnsi"/>
        </w:rPr>
        <w:t>levy. T</w:t>
      </w:r>
      <w:r w:rsidR="006B2C34" w:rsidRPr="006450FB">
        <w:rPr>
          <w:rFonts w:asciiTheme="minorHAnsi" w:hAnsiTheme="minorHAnsi" w:cstheme="minorHAnsi"/>
        </w:rPr>
        <w:t xml:space="preserve">he </w:t>
      </w:r>
      <w:r w:rsidR="0001514F" w:rsidRPr="006450FB">
        <w:rPr>
          <w:rFonts w:asciiTheme="minorHAnsi" w:hAnsiTheme="minorHAnsi" w:cstheme="minorHAnsi"/>
        </w:rPr>
        <w:t xml:space="preserve">Court </w:t>
      </w:r>
      <w:r w:rsidR="00694250" w:rsidRPr="006450FB">
        <w:rPr>
          <w:rFonts w:asciiTheme="minorHAnsi" w:hAnsiTheme="minorHAnsi" w:cstheme="minorHAnsi"/>
        </w:rPr>
        <w:t xml:space="preserve">unanimously </w:t>
      </w:r>
      <w:r w:rsidR="0001514F" w:rsidRPr="006450FB">
        <w:rPr>
          <w:rFonts w:asciiTheme="minorHAnsi" w:hAnsiTheme="minorHAnsi" w:cstheme="minorHAnsi"/>
        </w:rPr>
        <w:t xml:space="preserve">allowed the </w:t>
      </w:r>
      <w:r w:rsidR="00FE538B" w:rsidRPr="006450FB">
        <w:rPr>
          <w:rFonts w:asciiTheme="minorHAnsi" w:hAnsiTheme="minorHAnsi" w:cstheme="minorHAnsi"/>
        </w:rPr>
        <w:t xml:space="preserve">Board’s </w:t>
      </w:r>
      <w:r w:rsidR="0001514F" w:rsidRPr="006450FB">
        <w:rPr>
          <w:rFonts w:asciiTheme="minorHAnsi" w:hAnsiTheme="minorHAnsi" w:cstheme="minorHAnsi"/>
        </w:rPr>
        <w:t>appeal.</w:t>
      </w:r>
      <w:bookmarkStart w:id="7" w:name="_Ref140933510"/>
      <w:r w:rsidR="0001514F" w:rsidRPr="006450FB">
        <w:rPr>
          <w:rStyle w:val="FootnoteReference"/>
          <w:rFonts w:asciiTheme="minorHAnsi" w:hAnsiTheme="minorHAnsi" w:cstheme="minorHAnsi"/>
          <w:sz w:val="24"/>
          <w:szCs w:val="32"/>
        </w:rPr>
        <w:footnoteReference w:id="28"/>
      </w:r>
      <w:bookmarkEnd w:id="7"/>
      <w:r w:rsidR="00B02B1A" w:rsidRPr="006450FB">
        <w:rPr>
          <w:rFonts w:asciiTheme="minorHAnsi" w:hAnsiTheme="minorHAnsi" w:cstheme="minorHAnsi"/>
        </w:rPr>
        <w:t xml:space="preserve"> </w:t>
      </w:r>
      <w:r w:rsidR="00E81C7D" w:rsidRPr="006450FB">
        <w:rPr>
          <w:rFonts w:asciiTheme="minorHAnsi" w:hAnsiTheme="minorHAnsi" w:cstheme="minorHAnsi"/>
        </w:rPr>
        <w:t xml:space="preserve">The Court </w:t>
      </w:r>
      <w:r w:rsidR="00304696" w:rsidRPr="006450FB">
        <w:rPr>
          <w:rFonts w:asciiTheme="minorHAnsi" w:hAnsiTheme="minorHAnsi" w:cstheme="minorHAnsi"/>
        </w:rPr>
        <w:t xml:space="preserve">considered </w:t>
      </w:r>
      <w:r w:rsidR="007D31DF" w:rsidRPr="006450FB">
        <w:rPr>
          <w:rFonts w:asciiTheme="minorHAnsi" w:hAnsiTheme="minorHAnsi" w:cstheme="minorHAnsi"/>
        </w:rPr>
        <w:t xml:space="preserve">s 43 was intended </w:t>
      </w:r>
      <w:r w:rsidR="003B3231" w:rsidRPr="006450FB">
        <w:rPr>
          <w:rFonts w:asciiTheme="minorHAnsi" w:hAnsiTheme="minorHAnsi" w:cstheme="minorHAnsi"/>
        </w:rPr>
        <w:t>to cover cases where the terms of an enactment show</w:t>
      </w:r>
      <w:r w:rsidR="006936DB" w:rsidRPr="006450FB">
        <w:rPr>
          <w:rFonts w:asciiTheme="minorHAnsi" w:hAnsiTheme="minorHAnsi" w:cstheme="minorHAnsi"/>
        </w:rPr>
        <w:t>ed</w:t>
      </w:r>
      <w:r w:rsidR="003B3231" w:rsidRPr="006450FB">
        <w:rPr>
          <w:rFonts w:asciiTheme="minorHAnsi" w:hAnsiTheme="minorHAnsi" w:cstheme="minorHAnsi"/>
        </w:rPr>
        <w:t xml:space="preserve"> that limits on competition </w:t>
      </w:r>
      <w:r w:rsidR="006936DB" w:rsidRPr="006450FB">
        <w:rPr>
          <w:rFonts w:asciiTheme="minorHAnsi" w:hAnsiTheme="minorHAnsi" w:cstheme="minorHAnsi"/>
        </w:rPr>
        <w:t>we</w:t>
      </w:r>
      <w:r w:rsidR="003B3231" w:rsidRPr="006450FB">
        <w:rPr>
          <w:rFonts w:asciiTheme="minorHAnsi" w:hAnsiTheme="minorHAnsi" w:cstheme="minorHAnsi"/>
        </w:rPr>
        <w:t>re inevitable, or at least highly likely, if the authority given was exercised.</w:t>
      </w:r>
      <w:r w:rsidR="00762E28" w:rsidRPr="006450FB">
        <w:rPr>
          <w:rStyle w:val="FootnoteReference"/>
          <w:rFonts w:asciiTheme="minorHAnsi" w:hAnsiTheme="minorHAnsi" w:cstheme="minorHAnsi"/>
          <w:sz w:val="24"/>
          <w:szCs w:val="32"/>
        </w:rPr>
        <w:footnoteReference w:id="29"/>
      </w:r>
    </w:p>
    <w:p w14:paraId="415B43FA" w14:textId="492326D7" w:rsidR="00C07F43" w:rsidRPr="006450FB" w:rsidRDefault="00E81C7D" w:rsidP="00ED7DEC">
      <w:pPr>
        <w:pStyle w:val="TextindentedLR"/>
        <w:rPr>
          <w:rFonts w:asciiTheme="minorHAnsi" w:hAnsiTheme="minorHAnsi" w:cstheme="minorHAnsi"/>
        </w:rPr>
      </w:pPr>
      <w:r w:rsidRPr="006450FB">
        <w:rPr>
          <w:rFonts w:asciiTheme="minorHAnsi" w:hAnsiTheme="minorHAnsi" w:cstheme="minorHAnsi"/>
        </w:rPr>
        <w:t>The Privy Council</w:t>
      </w:r>
      <w:r w:rsidR="00023605" w:rsidRPr="006450FB">
        <w:rPr>
          <w:rFonts w:asciiTheme="minorHAnsi" w:hAnsiTheme="minorHAnsi" w:cstheme="minorHAnsi"/>
        </w:rPr>
        <w:t xml:space="preserve"> disagreed. </w:t>
      </w:r>
      <w:r w:rsidR="00C561C2" w:rsidRPr="006450FB">
        <w:rPr>
          <w:rFonts w:asciiTheme="minorHAnsi" w:hAnsiTheme="minorHAnsi" w:cstheme="minorHAnsi"/>
        </w:rPr>
        <w:t>Although expressing “natural reluctance to differ from a unanimous Court of Appeal in New Zealand on a point of construction of New Zealand legislation”, the</w:t>
      </w:r>
      <w:r w:rsidR="00BB63B6" w:rsidRPr="006450FB">
        <w:rPr>
          <w:rFonts w:asciiTheme="minorHAnsi" w:hAnsiTheme="minorHAnsi" w:cstheme="minorHAnsi"/>
        </w:rPr>
        <w:t xml:space="preserve">ir Lordships </w:t>
      </w:r>
      <w:r w:rsidR="001F55F9" w:rsidRPr="006450FB">
        <w:rPr>
          <w:rFonts w:asciiTheme="minorHAnsi" w:hAnsiTheme="minorHAnsi" w:cstheme="minorHAnsi"/>
        </w:rPr>
        <w:t>were forceful in their interpretation of the provision</w:t>
      </w:r>
      <w:r w:rsidR="0089716D" w:rsidRPr="006450FB">
        <w:rPr>
          <w:rFonts w:asciiTheme="minorHAnsi" w:hAnsiTheme="minorHAnsi" w:cstheme="minorHAnsi"/>
        </w:rPr>
        <w:t>:</w:t>
      </w:r>
      <w:r w:rsidR="0089716D" w:rsidRPr="006450FB">
        <w:rPr>
          <w:rStyle w:val="FootnoteReference"/>
          <w:rFonts w:asciiTheme="minorHAnsi" w:hAnsiTheme="minorHAnsi" w:cstheme="minorHAnsi"/>
          <w:sz w:val="24"/>
          <w:szCs w:val="32"/>
        </w:rPr>
        <w:footnoteReference w:id="30"/>
      </w:r>
    </w:p>
    <w:p w14:paraId="02E0F726" w14:textId="77777777" w:rsidR="00ED7DEC" w:rsidRPr="006450FB" w:rsidRDefault="00ED7DEC" w:rsidP="00ED7DEC">
      <w:pPr>
        <w:pStyle w:val="TextindentedLR"/>
        <w:ind w:firstLine="0"/>
        <w:rPr>
          <w:rFonts w:asciiTheme="minorHAnsi" w:hAnsiTheme="minorHAnsi" w:cstheme="minorHAnsi"/>
        </w:rPr>
      </w:pPr>
    </w:p>
    <w:p w14:paraId="5381332E" w14:textId="21C9F687" w:rsidR="00C07F43" w:rsidRPr="006450FB" w:rsidRDefault="007667B9" w:rsidP="00ED7DEC">
      <w:pPr>
        <w:pStyle w:val="QuoteLR"/>
        <w:rPr>
          <w:rFonts w:asciiTheme="minorHAnsi" w:hAnsiTheme="minorHAnsi" w:cstheme="minorHAnsi"/>
        </w:rPr>
      </w:pPr>
      <w:r w:rsidRPr="006450FB">
        <w:rPr>
          <w:rFonts w:asciiTheme="minorHAnsi" w:hAnsiTheme="minorHAnsi" w:cstheme="minorHAnsi"/>
        </w:rPr>
        <w:t>Section 43(2) makes it abundantly clear that a statutory authorisation embracing a class of acts which may or may not amount to restrictive practices is not a specific authorisation which will satisfy s</w:t>
      </w:r>
      <w:r w:rsidR="00814A3B" w:rsidRPr="006450FB">
        <w:rPr>
          <w:rFonts w:asciiTheme="minorHAnsi" w:hAnsiTheme="minorHAnsi" w:cstheme="minorHAnsi"/>
        </w:rPr>
        <w:t>ection</w:t>
      </w:r>
      <w:r w:rsidRPr="006450FB">
        <w:rPr>
          <w:rFonts w:asciiTheme="minorHAnsi" w:hAnsiTheme="minorHAnsi" w:cstheme="minorHAnsi"/>
        </w:rPr>
        <w:t xml:space="preserve"> 43(1). This is so even if, as here, the particular act in question is not only authorised generally by the statute, but also requires under the statute, and has obtained, the specific authority of the Minister. This seems to their Lordships to indicate that nothing less will do than either a statutory authorisation of the very act in question or, if it is one of a class or kind of authorised acts, that the whole authorised class would, if not so authorised, fall foul of the prohibitions in Part II of the Act of 1986.</w:t>
      </w:r>
    </w:p>
    <w:p w14:paraId="5B56E1BD" w14:textId="77777777" w:rsidR="00ED7DEC" w:rsidRPr="006450FB" w:rsidRDefault="00ED7DEC" w:rsidP="00ED7DEC">
      <w:pPr>
        <w:pStyle w:val="QuoteLR"/>
        <w:ind w:left="0"/>
        <w:rPr>
          <w:rFonts w:asciiTheme="minorHAnsi" w:hAnsiTheme="minorHAnsi" w:cstheme="minorHAnsi"/>
        </w:rPr>
      </w:pPr>
    </w:p>
    <w:p w14:paraId="6165EF33" w14:textId="59A380D7" w:rsidR="00C07F43" w:rsidRPr="006450FB" w:rsidRDefault="002816D5" w:rsidP="00ED7DEC">
      <w:pPr>
        <w:pStyle w:val="TextnoindentLR"/>
        <w:rPr>
          <w:rFonts w:asciiTheme="minorHAnsi" w:hAnsiTheme="minorHAnsi" w:cstheme="minorHAnsi"/>
        </w:rPr>
      </w:pPr>
      <w:r w:rsidRPr="006450FB">
        <w:rPr>
          <w:rFonts w:asciiTheme="minorHAnsi" w:hAnsiTheme="minorHAnsi" w:cstheme="minorHAnsi"/>
        </w:rPr>
        <w:t>T</w:t>
      </w:r>
      <w:r w:rsidR="002C0690" w:rsidRPr="006450FB">
        <w:rPr>
          <w:rFonts w:asciiTheme="minorHAnsi" w:hAnsiTheme="minorHAnsi" w:cstheme="minorHAnsi"/>
        </w:rPr>
        <w:t>he Privy Council’s approach requires significantly</w:t>
      </w:r>
      <w:r w:rsidRPr="006450FB">
        <w:rPr>
          <w:rFonts w:asciiTheme="minorHAnsi" w:hAnsiTheme="minorHAnsi" w:cstheme="minorHAnsi"/>
        </w:rPr>
        <w:t xml:space="preserve"> greater </w:t>
      </w:r>
      <w:r w:rsidR="00041486" w:rsidRPr="006450FB">
        <w:rPr>
          <w:rFonts w:asciiTheme="minorHAnsi" w:hAnsiTheme="minorHAnsi" w:cstheme="minorHAnsi"/>
        </w:rPr>
        <w:t>use of</w:t>
      </w:r>
      <w:r w:rsidRPr="006450FB">
        <w:rPr>
          <w:rFonts w:asciiTheme="minorHAnsi" w:hAnsiTheme="minorHAnsi" w:cstheme="minorHAnsi"/>
        </w:rPr>
        <w:t xml:space="preserve"> express authorisation. Respectfully, that is no bad thing. </w:t>
      </w:r>
      <w:r w:rsidR="00D60406" w:rsidRPr="006450FB">
        <w:rPr>
          <w:rFonts w:asciiTheme="minorHAnsi" w:hAnsiTheme="minorHAnsi" w:cstheme="minorHAnsi"/>
        </w:rPr>
        <w:t>Parliament is free to create exceptions to competition law</w:t>
      </w:r>
      <w:r w:rsidR="00323B98" w:rsidRPr="006450FB">
        <w:rPr>
          <w:rFonts w:asciiTheme="minorHAnsi" w:hAnsiTheme="minorHAnsi" w:cstheme="minorHAnsi"/>
        </w:rPr>
        <w:t>, but it</w:t>
      </w:r>
      <w:r w:rsidR="00D60406" w:rsidRPr="006450FB">
        <w:rPr>
          <w:rFonts w:asciiTheme="minorHAnsi" w:hAnsiTheme="minorHAnsi" w:cstheme="minorHAnsi"/>
        </w:rPr>
        <w:t xml:space="preserve"> should </w:t>
      </w:r>
      <w:r w:rsidR="00323B98" w:rsidRPr="006450FB">
        <w:rPr>
          <w:rFonts w:asciiTheme="minorHAnsi" w:hAnsiTheme="minorHAnsi" w:cstheme="minorHAnsi"/>
        </w:rPr>
        <w:t xml:space="preserve">do consciously, </w:t>
      </w:r>
      <w:r w:rsidR="00833F64" w:rsidRPr="006450FB">
        <w:rPr>
          <w:rFonts w:asciiTheme="minorHAnsi" w:hAnsiTheme="minorHAnsi" w:cstheme="minorHAnsi"/>
        </w:rPr>
        <w:t xml:space="preserve">transparently, </w:t>
      </w:r>
      <w:r w:rsidR="00323B98" w:rsidRPr="006450FB">
        <w:rPr>
          <w:rFonts w:asciiTheme="minorHAnsi" w:hAnsiTheme="minorHAnsi" w:cstheme="minorHAnsi"/>
        </w:rPr>
        <w:t xml:space="preserve">and with justification. </w:t>
      </w:r>
      <w:r w:rsidR="008735CD" w:rsidRPr="006450FB">
        <w:rPr>
          <w:rFonts w:asciiTheme="minorHAnsi" w:hAnsiTheme="minorHAnsi" w:cstheme="minorHAnsi"/>
        </w:rPr>
        <w:t xml:space="preserve">The parliamentary process will, unless Parliament decides otherwise, provide an opportunity for submission </w:t>
      </w:r>
      <w:r w:rsidR="004906A3" w:rsidRPr="006450FB">
        <w:rPr>
          <w:rFonts w:asciiTheme="minorHAnsi" w:hAnsiTheme="minorHAnsi" w:cstheme="minorHAnsi"/>
        </w:rPr>
        <w:t xml:space="preserve">from affected parties, including the Commerce Commission. The Select Committee can test whether the exception is needed, and if so whether it is </w:t>
      </w:r>
      <w:r w:rsidR="009515D4" w:rsidRPr="006450FB">
        <w:rPr>
          <w:rFonts w:asciiTheme="minorHAnsi" w:hAnsiTheme="minorHAnsi" w:cstheme="minorHAnsi"/>
        </w:rPr>
        <w:t>appropriately scoped.</w:t>
      </w:r>
    </w:p>
    <w:p w14:paraId="1BA8E216" w14:textId="14FF7D2C" w:rsidR="00E87F7D" w:rsidRPr="006450FB" w:rsidRDefault="00466128" w:rsidP="00ED7DEC">
      <w:pPr>
        <w:pStyle w:val="TextindentedLR"/>
        <w:rPr>
          <w:rFonts w:asciiTheme="minorHAnsi" w:hAnsiTheme="minorHAnsi" w:cstheme="minorHAnsi"/>
        </w:rPr>
      </w:pPr>
      <w:r w:rsidRPr="006450FB">
        <w:rPr>
          <w:rFonts w:asciiTheme="minorHAnsi" w:hAnsiTheme="minorHAnsi" w:cstheme="minorHAnsi"/>
        </w:rPr>
        <w:t>The Commerce Act itself contains something of a grab-bag of exceptions,</w:t>
      </w:r>
      <w:r w:rsidRPr="006450FB">
        <w:rPr>
          <w:rStyle w:val="FootnoteReference"/>
          <w:rFonts w:asciiTheme="minorHAnsi" w:eastAsia="Calibri" w:hAnsiTheme="minorHAnsi" w:cstheme="minorHAnsi"/>
          <w:color w:val="000000" w:themeColor="text1"/>
          <w:sz w:val="24"/>
          <w:szCs w:val="24"/>
        </w:rPr>
        <w:footnoteReference w:id="31"/>
      </w:r>
      <w:r w:rsidRPr="006450FB">
        <w:rPr>
          <w:rFonts w:asciiTheme="minorHAnsi" w:hAnsiTheme="minorHAnsi" w:cstheme="minorHAnsi"/>
        </w:rPr>
        <w:t xml:space="preserve"> </w:t>
      </w:r>
      <w:r w:rsidR="00521AFF" w:rsidRPr="006450FB">
        <w:rPr>
          <w:rFonts w:asciiTheme="minorHAnsi" w:hAnsiTheme="minorHAnsi" w:cstheme="minorHAnsi"/>
        </w:rPr>
        <w:t>and</w:t>
      </w:r>
      <w:r w:rsidRPr="006450FB">
        <w:rPr>
          <w:rFonts w:asciiTheme="minorHAnsi" w:hAnsiTheme="minorHAnsi" w:cstheme="minorHAnsi"/>
        </w:rPr>
        <w:t xml:space="preserve"> t</w:t>
      </w:r>
      <w:r w:rsidR="00C053C9" w:rsidRPr="006450FB">
        <w:rPr>
          <w:rFonts w:asciiTheme="minorHAnsi" w:hAnsiTheme="minorHAnsi" w:cstheme="minorHAnsi"/>
        </w:rPr>
        <w:t xml:space="preserve">here are </w:t>
      </w:r>
      <w:r w:rsidR="00323B98" w:rsidRPr="006450FB">
        <w:rPr>
          <w:rFonts w:asciiTheme="minorHAnsi" w:hAnsiTheme="minorHAnsi" w:cstheme="minorHAnsi"/>
        </w:rPr>
        <w:t xml:space="preserve">now </w:t>
      </w:r>
      <w:r w:rsidR="00C053C9" w:rsidRPr="006450FB">
        <w:rPr>
          <w:rFonts w:asciiTheme="minorHAnsi" w:hAnsiTheme="minorHAnsi" w:cstheme="minorHAnsi"/>
        </w:rPr>
        <w:t xml:space="preserve">a range of express </w:t>
      </w:r>
      <w:r w:rsidR="003F708E" w:rsidRPr="006450FB">
        <w:rPr>
          <w:rFonts w:asciiTheme="minorHAnsi" w:hAnsiTheme="minorHAnsi" w:cstheme="minorHAnsi"/>
        </w:rPr>
        <w:t>autho</w:t>
      </w:r>
      <w:r w:rsidR="00C93C7C" w:rsidRPr="006450FB">
        <w:rPr>
          <w:rFonts w:asciiTheme="minorHAnsi" w:hAnsiTheme="minorHAnsi" w:cstheme="minorHAnsi"/>
        </w:rPr>
        <w:t>ri</w:t>
      </w:r>
      <w:r w:rsidR="003F708E" w:rsidRPr="006450FB">
        <w:rPr>
          <w:rFonts w:asciiTheme="minorHAnsi" w:hAnsiTheme="minorHAnsi" w:cstheme="minorHAnsi"/>
        </w:rPr>
        <w:t>sations</w:t>
      </w:r>
      <w:r w:rsidR="00E75909" w:rsidRPr="006450FB">
        <w:rPr>
          <w:rFonts w:asciiTheme="minorHAnsi" w:hAnsiTheme="minorHAnsi" w:cstheme="minorHAnsi"/>
        </w:rPr>
        <w:t xml:space="preserve"> outside the Commerce </w:t>
      </w:r>
      <w:r w:rsidRPr="006450FB">
        <w:rPr>
          <w:rFonts w:asciiTheme="minorHAnsi" w:hAnsiTheme="minorHAnsi" w:cstheme="minorHAnsi"/>
        </w:rPr>
        <w:t>Act</w:t>
      </w:r>
      <w:r w:rsidR="00F54B86" w:rsidRPr="006450FB">
        <w:rPr>
          <w:rFonts w:asciiTheme="minorHAnsi" w:hAnsiTheme="minorHAnsi" w:cstheme="minorHAnsi"/>
        </w:rPr>
        <w:t xml:space="preserve">. </w:t>
      </w:r>
      <w:r w:rsidR="00EC2DC2" w:rsidRPr="006450FB">
        <w:rPr>
          <w:rFonts w:asciiTheme="minorHAnsi" w:hAnsiTheme="minorHAnsi" w:cstheme="minorHAnsi"/>
        </w:rPr>
        <w:t xml:space="preserve">These express authorisations for the purposes of s 43 have been adopted on something of an ad hoc basis. </w:t>
      </w:r>
      <w:r w:rsidR="00CB403F" w:rsidRPr="006450FB">
        <w:rPr>
          <w:rFonts w:asciiTheme="minorHAnsi" w:hAnsiTheme="minorHAnsi" w:cstheme="minorHAnsi"/>
        </w:rPr>
        <w:t xml:space="preserve">While some are concerned with </w:t>
      </w:r>
      <w:r w:rsidR="00CB403F" w:rsidRPr="006450FB">
        <w:rPr>
          <w:rFonts w:asciiTheme="minorHAnsi" w:hAnsiTheme="minorHAnsi" w:cstheme="minorHAnsi"/>
        </w:rPr>
        <w:lastRenderedPageBreak/>
        <w:t>purely private commercial matters,</w:t>
      </w:r>
      <w:r w:rsidR="00CB403F" w:rsidRPr="006450FB">
        <w:rPr>
          <w:rStyle w:val="FootnoteReference"/>
          <w:rFonts w:asciiTheme="minorHAnsi" w:eastAsia="Calibri" w:hAnsiTheme="minorHAnsi" w:cstheme="minorHAnsi"/>
          <w:color w:val="000000" w:themeColor="text1"/>
          <w:sz w:val="24"/>
          <w:szCs w:val="24"/>
        </w:rPr>
        <w:footnoteReference w:id="32"/>
      </w:r>
      <w:r w:rsidR="00CB403F" w:rsidRPr="006450FB">
        <w:rPr>
          <w:rFonts w:asciiTheme="minorHAnsi" w:hAnsiTheme="minorHAnsi" w:cstheme="minorHAnsi"/>
        </w:rPr>
        <w:t xml:space="preserve"> m</w:t>
      </w:r>
      <w:r w:rsidR="00AD471A" w:rsidRPr="006450FB">
        <w:rPr>
          <w:rFonts w:asciiTheme="minorHAnsi" w:hAnsiTheme="minorHAnsi" w:cstheme="minorHAnsi"/>
        </w:rPr>
        <w:t>ost</w:t>
      </w:r>
      <w:r w:rsidR="00AE1F33" w:rsidRPr="006450FB">
        <w:rPr>
          <w:rFonts w:asciiTheme="minorHAnsi" w:hAnsiTheme="minorHAnsi" w:cstheme="minorHAnsi"/>
        </w:rPr>
        <w:t xml:space="preserve"> of the exceptions </w:t>
      </w:r>
      <w:r w:rsidR="00AD471A" w:rsidRPr="006450FB">
        <w:rPr>
          <w:rFonts w:asciiTheme="minorHAnsi" w:hAnsiTheme="minorHAnsi" w:cstheme="minorHAnsi"/>
        </w:rPr>
        <w:t>involve government activity</w:t>
      </w:r>
      <w:r w:rsidR="00AE1F33" w:rsidRPr="006450FB">
        <w:rPr>
          <w:rFonts w:asciiTheme="minorHAnsi" w:hAnsiTheme="minorHAnsi" w:cstheme="minorHAnsi"/>
        </w:rPr>
        <w:t>.</w:t>
      </w:r>
      <w:r w:rsidR="001A7491" w:rsidRPr="006450FB">
        <w:rPr>
          <w:rFonts w:asciiTheme="minorHAnsi" w:hAnsiTheme="minorHAnsi" w:cstheme="minorHAnsi"/>
        </w:rPr>
        <w:t xml:space="preserve"> </w:t>
      </w:r>
      <w:r w:rsidR="0007272A" w:rsidRPr="006450FB">
        <w:rPr>
          <w:rFonts w:asciiTheme="minorHAnsi" w:hAnsiTheme="minorHAnsi" w:cstheme="minorHAnsi"/>
        </w:rPr>
        <w:t>S</w:t>
      </w:r>
      <w:r w:rsidR="00CB445A" w:rsidRPr="006450FB">
        <w:rPr>
          <w:rFonts w:asciiTheme="minorHAnsi" w:hAnsiTheme="minorHAnsi" w:cstheme="minorHAnsi"/>
        </w:rPr>
        <w:t>ome insight can be gained into the functions that</w:t>
      </w:r>
      <w:r w:rsidR="00A06FAD" w:rsidRPr="006450FB">
        <w:rPr>
          <w:rFonts w:asciiTheme="minorHAnsi" w:hAnsiTheme="minorHAnsi" w:cstheme="minorHAnsi"/>
        </w:rPr>
        <w:t xml:space="preserve"> the </w:t>
      </w:r>
      <w:r w:rsidR="003A30FC" w:rsidRPr="006450FB">
        <w:rPr>
          <w:rFonts w:asciiTheme="minorHAnsi" w:hAnsiTheme="minorHAnsi" w:cstheme="minorHAnsi"/>
        </w:rPr>
        <w:t>drafters thought</w:t>
      </w:r>
      <w:r w:rsidR="00A06FAD" w:rsidRPr="006450FB">
        <w:rPr>
          <w:rFonts w:asciiTheme="minorHAnsi" w:hAnsiTheme="minorHAnsi" w:cstheme="minorHAnsi"/>
        </w:rPr>
        <w:t xml:space="preserve"> might otherwise be challen</w:t>
      </w:r>
      <w:r w:rsidR="003A30FC" w:rsidRPr="006450FB">
        <w:rPr>
          <w:rFonts w:asciiTheme="minorHAnsi" w:hAnsiTheme="minorHAnsi" w:cstheme="minorHAnsi"/>
        </w:rPr>
        <w:t>g</w:t>
      </w:r>
      <w:r w:rsidR="00A06FAD" w:rsidRPr="006450FB">
        <w:rPr>
          <w:rFonts w:asciiTheme="minorHAnsi" w:hAnsiTheme="minorHAnsi" w:cstheme="minorHAnsi"/>
        </w:rPr>
        <w:t>ed</w:t>
      </w:r>
      <w:r w:rsidR="003A30FC" w:rsidRPr="006450FB">
        <w:rPr>
          <w:rFonts w:asciiTheme="minorHAnsi" w:hAnsiTheme="minorHAnsi" w:cstheme="minorHAnsi"/>
        </w:rPr>
        <w:t xml:space="preserve"> under the Commerce Act. </w:t>
      </w:r>
      <w:r w:rsidR="000100B5" w:rsidRPr="006450FB">
        <w:rPr>
          <w:rFonts w:asciiTheme="minorHAnsi" w:hAnsiTheme="minorHAnsi" w:cstheme="minorHAnsi"/>
        </w:rPr>
        <w:t>The</w:t>
      </w:r>
      <w:r w:rsidR="000E20FA" w:rsidRPr="006450FB">
        <w:rPr>
          <w:rFonts w:asciiTheme="minorHAnsi" w:hAnsiTheme="minorHAnsi" w:cstheme="minorHAnsi"/>
        </w:rPr>
        <w:t xml:space="preserve"> activities </w:t>
      </w:r>
      <w:r w:rsidR="000100B5" w:rsidRPr="006450FB">
        <w:rPr>
          <w:rFonts w:asciiTheme="minorHAnsi" w:hAnsiTheme="minorHAnsi" w:cstheme="minorHAnsi"/>
        </w:rPr>
        <w:t xml:space="preserve">include </w:t>
      </w:r>
      <w:r w:rsidR="00AD471A" w:rsidRPr="006450FB">
        <w:rPr>
          <w:rFonts w:asciiTheme="minorHAnsi" w:hAnsiTheme="minorHAnsi" w:cstheme="minorHAnsi"/>
        </w:rPr>
        <w:t>economic regulatory regimes,</w:t>
      </w:r>
      <w:r w:rsidR="00AD471A" w:rsidRPr="006450FB">
        <w:rPr>
          <w:rStyle w:val="FootnoteReference"/>
          <w:rFonts w:asciiTheme="minorHAnsi" w:eastAsia="Calibri" w:hAnsiTheme="minorHAnsi" w:cstheme="minorHAnsi"/>
          <w:color w:val="000000" w:themeColor="text1"/>
          <w:sz w:val="24"/>
          <w:szCs w:val="24"/>
        </w:rPr>
        <w:footnoteReference w:id="33"/>
      </w:r>
      <w:r w:rsidR="00535036" w:rsidRPr="006450FB">
        <w:rPr>
          <w:rFonts w:asciiTheme="minorHAnsi" w:hAnsiTheme="minorHAnsi" w:cstheme="minorHAnsi"/>
        </w:rPr>
        <w:t xml:space="preserve"> </w:t>
      </w:r>
      <w:r w:rsidR="000100B5" w:rsidRPr="006450FB">
        <w:rPr>
          <w:rFonts w:asciiTheme="minorHAnsi" w:hAnsiTheme="minorHAnsi" w:cstheme="minorHAnsi"/>
        </w:rPr>
        <w:t>creation of monopol</w:t>
      </w:r>
      <w:r w:rsidR="003D1473" w:rsidRPr="006450FB">
        <w:rPr>
          <w:rFonts w:asciiTheme="minorHAnsi" w:hAnsiTheme="minorHAnsi" w:cstheme="minorHAnsi"/>
        </w:rPr>
        <w:t>y service providers</w:t>
      </w:r>
      <w:r w:rsidR="000100B5" w:rsidRPr="006450FB">
        <w:rPr>
          <w:rFonts w:asciiTheme="minorHAnsi" w:hAnsiTheme="minorHAnsi" w:cstheme="minorHAnsi"/>
        </w:rPr>
        <w:t>,</w:t>
      </w:r>
      <w:r w:rsidR="003D1473" w:rsidRPr="006450FB">
        <w:rPr>
          <w:rStyle w:val="FootnoteReference"/>
          <w:rFonts w:asciiTheme="minorHAnsi" w:eastAsia="Calibri" w:hAnsiTheme="minorHAnsi" w:cstheme="minorHAnsi"/>
          <w:color w:val="000000" w:themeColor="text1"/>
          <w:sz w:val="24"/>
          <w:szCs w:val="24"/>
        </w:rPr>
        <w:footnoteReference w:id="34"/>
      </w:r>
      <w:r w:rsidR="003D1473" w:rsidRPr="006450FB">
        <w:rPr>
          <w:rFonts w:asciiTheme="minorHAnsi" w:hAnsiTheme="minorHAnsi" w:cstheme="minorHAnsi"/>
        </w:rPr>
        <w:t xml:space="preserve"> joint purchasing,</w:t>
      </w:r>
      <w:r w:rsidR="003D1473" w:rsidRPr="006450FB">
        <w:rPr>
          <w:rStyle w:val="FootnoteReference"/>
          <w:rFonts w:asciiTheme="minorHAnsi" w:eastAsia="Calibri" w:hAnsiTheme="minorHAnsi" w:cstheme="minorHAnsi"/>
          <w:color w:val="000000" w:themeColor="text1"/>
          <w:sz w:val="24"/>
          <w:szCs w:val="24"/>
        </w:rPr>
        <w:footnoteReference w:id="35"/>
      </w:r>
      <w:r w:rsidR="003D1473" w:rsidRPr="006450FB">
        <w:rPr>
          <w:rFonts w:asciiTheme="minorHAnsi" w:hAnsiTheme="minorHAnsi" w:cstheme="minorHAnsi"/>
        </w:rPr>
        <w:t xml:space="preserve"> </w:t>
      </w:r>
      <w:r w:rsidR="00B408F7" w:rsidRPr="006450FB">
        <w:rPr>
          <w:rFonts w:asciiTheme="minorHAnsi" w:hAnsiTheme="minorHAnsi" w:cstheme="minorHAnsi"/>
        </w:rPr>
        <w:t>monopsony purchasing,</w:t>
      </w:r>
      <w:r w:rsidR="00B408F7" w:rsidRPr="006450FB">
        <w:rPr>
          <w:rStyle w:val="FootnoteReference"/>
          <w:rFonts w:asciiTheme="minorHAnsi" w:eastAsia="Calibri" w:hAnsiTheme="minorHAnsi" w:cstheme="minorHAnsi"/>
          <w:color w:val="000000" w:themeColor="text1"/>
          <w:sz w:val="24"/>
          <w:szCs w:val="24"/>
        </w:rPr>
        <w:footnoteReference w:id="36"/>
      </w:r>
      <w:r w:rsidR="00B408F7" w:rsidRPr="006450FB">
        <w:rPr>
          <w:rFonts w:asciiTheme="minorHAnsi" w:hAnsiTheme="minorHAnsi" w:cstheme="minorHAnsi"/>
        </w:rPr>
        <w:t xml:space="preserve"> </w:t>
      </w:r>
      <w:r w:rsidR="00F041A0" w:rsidRPr="006450FB">
        <w:rPr>
          <w:rFonts w:asciiTheme="minorHAnsi" w:hAnsiTheme="minorHAnsi" w:cstheme="minorHAnsi"/>
        </w:rPr>
        <w:t>creating or managing</w:t>
      </w:r>
      <w:r w:rsidR="00AC50B8" w:rsidRPr="006450FB">
        <w:rPr>
          <w:rFonts w:asciiTheme="minorHAnsi" w:hAnsiTheme="minorHAnsi" w:cstheme="minorHAnsi"/>
        </w:rPr>
        <w:t xml:space="preserve"> payment systems,</w:t>
      </w:r>
      <w:r w:rsidR="00AC50B8" w:rsidRPr="006450FB">
        <w:rPr>
          <w:rStyle w:val="FootnoteReference"/>
          <w:rFonts w:asciiTheme="minorHAnsi" w:eastAsia="Calibri" w:hAnsiTheme="minorHAnsi" w:cstheme="minorHAnsi"/>
          <w:color w:val="000000" w:themeColor="text1"/>
          <w:sz w:val="24"/>
          <w:szCs w:val="24"/>
        </w:rPr>
        <w:footnoteReference w:id="37"/>
      </w:r>
      <w:r w:rsidR="00AC50B8" w:rsidRPr="006450FB">
        <w:rPr>
          <w:rFonts w:asciiTheme="minorHAnsi" w:hAnsiTheme="minorHAnsi" w:cstheme="minorHAnsi"/>
        </w:rPr>
        <w:t xml:space="preserve"> agreem</w:t>
      </w:r>
      <w:r w:rsidR="00B96376" w:rsidRPr="006450FB">
        <w:rPr>
          <w:rFonts w:asciiTheme="minorHAnsi" w:hAnsiTheme="minorHAnsi" w:cstheme="minorHAnsi"/>
        </w:rPr>
        <w:t>ents that limit the supply of goods,</w:t>
      </w:r>
      <w:r w:rsidR="00B96376" w:rsidRPr="006450FB">
        <w:rPr>
          <w:rStyle w:val="FootnoteReference"/>
          <w:rFonts w:asciiTheme="minorHAnsi" w:eastAsia="Calibri" w:hAnsiTheme="minorHAnsi" w:cstheme="minorHAnsi"/>
          <w:color w:val="000000" w:themeColor="text1"/>
          <w:sz w:val="24"/>
          <w:szCs w:val="24"/>
        </w:rPr>
        <w:footnoteReference w:id="38"/>
      </w:r>
      <w:r w:rsidR="00745B98" w:rsidRPr="006450FB">
        <w:rPr>
          <w:rFonts w:asciiTheme="minorHAnsi" w:hAnsiTheme="minorHAnsi" w:cstheme="minorHAnsi"/>
        </w:rPr>
        <w:t xml:space="preserve"> </w:t>
      </w:r>
      <w:r w:rsidR="00801D2B" w:rsidRPr="006450FB">
        <w:rPr>
          <w:rFonts w:asciiTheme="minorHAnsi" w:hAnsiTheme="minorHAnsi" w:cstheme="minorHAnsi"/>
        </w:rPr>
        <w:t xml:space="preserve">the operation of </w:t>
      </w:r>
      <w:r w:rsidR="00745B98" w:rsidRPr="006450FB">
        <w:rPr>
          <w:rFonts w:asciiTheme="minorHAnsi" w:hAnsiTheme="minorHAnsi" w:cstheme="minorHAnsi"/>
        </w:rPr>
        <w:t>producer boards,</w:t>
      </w:r>
      <w:r w:rsidR="00745B98" w:rsidRPr="006450FB">
        <w:rPr>
          <w:rStyle w:val="FootnoteReference"/>
          <w:rFonts w:asciiTheme="minorHAnsi" w:eastAsia="Calibri" w:hAnsiTheme="minorHAnsi" w:cstheme="minorHAnsi"/>
          <w:color w:val="000000" w:themeColor="text1"/>
          <w:sz w:val="24"/>
          <w:szCs w:val="24"/>
        </w:rPr>
        <w:footnoteReference w:id="39"/>
      </w:r>
      <w:r w:rsidR="004D0C4E" w:rsidRPr="006450FB">
        <w:rPr>
          <w:rFonts w:asciiTheme="minorHAnsi" w:hAnsiTheme="minorHAnsi" w:cstheme="minorHAnsi"/>
        </w:rPr>
        <w:t xml:space="preserve"> </w:t>
      </w:r>
      <w:r w:rsidR="009908DC" w:rsidRPr="006450FB">
        <w:rPr>
          <w:rFonts w:asciiTheme="minorHAnsi" w:hAnsiTheme="minorHAnsi" w:cstheme="minorHAnsi"/>
        </w:rPr>
        <w:t xml:space="preserve">and </w:t>
      </w:r>
      <w:r w:rsidR="004D0C4E" w:rsidRPr="006450FB">
        <w:rPr>
          <w:rFonts w:asciiTheme="minorHAnsi" w:hAnsiTheme="minorHAnsi" w:cstheme="minorHAnsi"/>
        </w:rPr>
        <w:t>industry promotion</w:t>
      </w:r>
      <w:r w:rsidR="00801D2B" w:rsidRPr="006450FB">
        <w:rPr>
          <w:rFonts w:asciiTheme="minorHAnsi" w:hAnsiTheme="minorHAnsi" w:cstheme="minorHAnsi"/>
        </w:rPr>
        <w:t xml:space="preserve"> activities</w:t>
      </w:r>
      <w:r w:rsidR="00B408F7" w:rsidRPr="006450FB">
        <w:rPr>
          <w:rFonts w:asciiTheme="minorHAnsi" w:hAnsiTheme="minorHAnsi" w:cstheme="minorHAnsi"/>
        </w:rPr>
        <w:t>.</w:t>
      </w:r>
      <w:r w:rsidR="009908DC" w:rsidRPr="006450FB">
        <w:rPr>
          <w:rStyle w:val="FootnoteReference"/>
          <w:rFonts w:asciiTheme="minorHAnsi" w:eastAsia="Calibri" w:hAnsiTheme="minorHAnsi" w:cstheme="minorHAnsi"/>
          <w:color w:val="000000" w:themeColor="text1"/>
          <w:sz w:val="24"/>
          <w:szCs w:val="24"/>
        </w:rPr>
        <w:footnoteReference w:id="40"/>
      </w:r>
    </w:p>
    <w:p w14:paraId="429A9D98" w14:textId="768B6AB4" w:rsidR="00535036" w:rsidRPr="006450FB" w:rsidRDefault="00D8436B" w:rsidP="00ED7DEC">
      <w:pPr>
        <w:pStyle w:val="TextindentedLR"/>
        <w:rPr>
          <w:rFonts w:asciiTheme="minorHAnsi" w:hAnsiTheme="minorHAnsi" w:cstheme="minorHAnsi"/>
        </w:rPr>
      </w:pPr>
      <w:r w:rsidRPr="006450FB">
        <w:rPr>
          <w:rFonts w:asciiTheme="minorHAnsi" w:hAnsiTheme="minorHAnsi" w:cstheme="minorHAnsi"/>
        </w:rPr>
        <w:t xml:space="preserve">The need to include ad hoc exceptions at frequent intervals may suggest that the existing Crown exception is defective. But it might also suggest that, in some parts of Government, there is a concern to ensure that limits on competition are authorised by Parliament, and only as broad as necessary. </w:t>
      </w:r>
      <w:r w:rsidR="00871BF9" w:rsidRPr="006450FB">
        <w:rPr>
          <w:rFonts w:asciiTheme="minorHAnsi" w:hAnsiTheme="minorHAnsi" w:cstheme="minorHAnsi"/>
        </w:rPr>
        <w:t xml:space="preserve">That approach is consistent with the approach of the Privy Council in </w:t>
      </w:r>
      <w:r w:rsidR="00871BF9" w:rsidRPr="006450FB">
        <w:rPr>
          <w:rFonts w:asciiTheme="minorHAnsi" w:hAnsiTheme="minorHAnsi" w:cstheme="minorHAnsi"/>
          <w:i/>
          <w:iCs/>
        </w:rPr>
        <w:t>Apple</w:t>
      </w:r>
      <w:r w:rsidR="00C93C7C" w:rsidRPr="006450FB">
        <w:rPr>
          <w:rFonts w:asciiTheme="minorHAnsi" w:hAnsiTheme="minorHAnsi" w:cstheme="minorHAnsi"/>
          <w:i/>
          <w:iCs/>
        </w:rPr>
        <w:t xml:space="preserve"> F</w:t>
      </w:r>
      <w:r w:rsidR="00871BF9" w:rsidRPr="006450FB">
        <w:rPr>
          <w:rFonts w:asciiTheme="minorHAnsi" w:hAnsiTheme="minorHAnsi" w:cstheme="minorHAnsi"/>
          <w:i/>
          <w:iCs/>
        </w:rPr>
        <w:t>ields</w:t>
      </w:r>
      <w:r w:rsidR="00871BF9" w:rsidRPr="006450FB">
        <w:rPr>
          <w:rFonts w:asciiTheme="minorHAnsi" w:hAnsiTheme="minorHAnsi" w:cstheme="minorHAnsi"/>
        </w:rPr>
        <w:t>.</w:t>
      </w:r>
    </w:p>
    <w:p w14:paraId="56994315" w14:textId="313B3577" w:rsidR="00535036" w:rsidRPr="006450FB" w:rsidRDefault="00D8436B" w:rsidP="00ED7DEC">
      <w:pPr>
        <w:pStyle w:val="TextindentedLR"/>
        <w:rPr>
          <w:rFonts w:asciiTheme="minorHAnsi" w:hAnsiTheme="minorHAnsi" w:cstheme="minorHAnsi"/>
        </w:rPr>
      </w:pPr>
      <w:r w:rsidRPr="006450FB">
        <w:rPr>
          <w:rFonts w:asciiTheme="minorHAnsi" w:hAnsiTheme="minorHAnsi" w:cstheme="minorHAnsi"/>
        </w:rPr>
        <w:t>Whichever is the case, i</w:t>
      </w:r>
      <w:r w:rsidR="0087465D" w:rsidRPr="006450FB">
        <w:rPr>
          <w:rFonts w:asciiTheme="minorHAnsi" w:hAnsiTheme="minorHAnsi" w:cstheme="minorHAnsi"/>
        </w:rPr>
        <w:t xml:space="preserve">t would be highly desirable for exceptions to the Commerce Act to be drafted and interpreted in a consistent manner, and with regard to the purposes and text of the Commerce Act. At present, </w:t>
      </w:r>
      <w:r w:rsidR="00796D04" w:rsidRPr="006450FB">
        <w:rPr>
          <w:rFonts w:asciiTheme="minorHAnsi" w:hAnsiTheme="minorHAnsi" w:cstheme="minorHAnsi"/>
        </w:rPr>
        <w:t>t</w:t>
      </w:r>
      <w:r w:rsidR="00AD471A" w:rsidRPr="006450FB">
        <w:rPr>
          <w:rFonts w:asciiTheme="minorHAnsi" w:hAnsiTheme="minorHAnsi" w:cstheme="minorHAnsi"/>
        </w:rPr>
        <w:t>he</w:t>
      </w:r>
      <w:r w:rsidR="00AE1F33" w:rsidRPr="006450FB">
        <w:rPr>
          <w:rFonts w:asciiTheme="minorHAnsi" w:hAnsiTheme="minorHAnsi" w:cstheme="minorHAnsi"/>
        </w:rPr>
        <w:t>se provisions</w:t>
      </w:r>
      <w:r w:rsidR="00AD471A" w:rsidRPr="006450FB">
        <w:rPr>
          <w:rFonts w:asciiTheme="minorHAnsi" w:hAnsiTheme="minorHAnsi" w:cstheme="minorHAnsi"/>
        </w:rPr>
        <w:t xml:space="preserve"> are scattered through the statute book with</w:t>
      </w:r>
      <w:r w:rsidR="002C51E3" w:rsidRPr="006450FB">
        <w:rPr>
          <w:rFonts w:asciiTheme="minorHAnsi" w:hAnsiTheme="minorHAnsi" w:cstheme="minorHAnsi"/>
        </w:rPr>
        <w:t xml:space="preserve"> </w:t>
      </w:r>
      <w:r w:rsidR="00AD471A" w:rsidRPr="006450FB">
        <w:rPr>
          <w:rFonts w:asciiTheme="minorHAnsi" w:hAnsiTheme="minorHAnsi" w:cstheme="minorHAnsi"/>
        </w:rPr>
        <w:t xml:space="preserve">no central repository </w:t>
      </w:r>
      <w:r w:rsidR="002C51E3" w:rsidRPr="006450FB">
        <w:rPr>
          <w:rFonts w:asciiTheme="minorHAnsi" w:hAnsiTheme="minorHAnsi" w:cstheme="minorHAnsi"/>
        </w:rPr>
        <w:t xml:space="preserve">or reference </w:t>
      </w:r>
      <w:r w:rsidR="00AD471A" w:rsidRPr="006450FB">
        <w:rPr>
          <w:rFonts w:asciiTheme="minorHAnsi" w:hAnsiTheme="minorHAnsi" w:cstheme="minorHAnsi"/>
        </w:rPr>
        <w:t xml:space="preserve">for them. </w:t>
      </w:r>
      <w:r w:rsidR="00F35A15" w:rsidRPr="006450FB">
        <w:rPr>
          <w:rFonts w:asciiTheme="minorHAnsi" w:hAnsiTheme="minorHAnsi" w:cstheme="minorHAnsi"/>
        </w:rPr>
        <w:t xml:space="preserve">They </w:t>
      </w:r>
      <w:r w:rsidR="00AD471A" w:rsidRPr="006450FB">
        <w:rPr>
          <w:rFonts w:asciiTheme="minorHAnsi" w:hAnsiTheme="minorHAnsi" w:cstheme="minorHAnsi"/>
        </w:rPr>
        <w:t>are relatively untested</w:t>
      </w:r>
      <w:r w:rsidR="004406B0" w:rsidRPr="006450FB">
        <w:rPr>
          <w:rFonts w:asciiTheme="minorHAnsi" w:hAnsiTheme="minorHAnsi" w:cstheme="minorHAnsi"/>
        </w:rPr>
        <w:t xml:space="preserve"> in the </w:t>
      </w:r>
      <w:r w:rsidR="001F0BBF" w:rsidRPr="006450FB">
        <w:rPr>
          <w:rFonts w:asciiTheme="minorHAnsi" w:hAnsiTheme="minorHAnsi" w:cstheme="minorHAnsi"/>
        </w:rPr>
        <w:t>c</w:t>
      </w:r>
      <w:r w:rsidR="00FB5CC9" w:rsidRPr="006450FB">
        <w:rPr>
          <w:rFonts w:asciiTheme="minorHAnsi" w:hAnsiTheme="minorHAnsi" w:cstheme="minorHAnsi"/>
        </w:rPr>
        <w:t>ourts but</w:t>
      </w:r>
      <w:r w:rsidR="00CF2872" w:rsidRPr="006450FB">
        <w:rPr>
          <w:rFonts w:asciiTheme="minorHAnsi" w:hAnsiTheme="minorHAnsi" w:cstheme="minorHAnsi"/>
        </w:rPr>
        <w:t>,</w:t>
      </w:r>
      <w:r w:rsidR="006A25DA" w:rsidRPr="006450FB">
        <w:rPr>
          <w:rFonts w:asciiTheme="minorHAnsi" w:hAnsiTheme="minorHAnsi" w:cstheme="minorHAnsi"/>
        </w:rPr>
        <w:t xml:space="preserve"> given they have not been drafted consistently over time</w:t>
      </w:r>
      <w:r w:rsidR="00CF2872" w:rsidRPr="006450FB">
        <w:rPr>
          <w:rFonts w:asciiTheme="minorHAnsi" w:hAnsiTheme="minorHAnsi" w:cstheme="minorHAnsi"/>
        </w:rPr>
        <w:t>,</w:t>
      </w:r>
      <w:r w:rsidR="006A25DA" w:rsidRPr="006450FB">
        <w:rPr>
          <w:rFonts w:asciiTheme="minorHAnsi" w:hAnsiTheme="minorHAnsi" w:cstheme="minorHAnsi"/>
        </w:rPr>
        <w:t xml:space="preserve"> the </w:t>
      </w:r>
      <w:r w:rsidR="001F0BBF" w:rsidRPr="006450FB">
        <w:rPr>
          <w:rFonts w:asciiTheme="minorHAnsi" w:hAnsiTheme="minorHAnsi" w:cstheme="minorHAnsi"/>
        </w:rPr>
        <w:t>c</w:t>
      </w:r>
      <w:r w:rsidR="006A25DA" w:rsidRPr="006450FB">
        <w:rPr>
          <w:rFonts w:asciiTheme="minorHAnsi" w:hAnsiTheme="minorHAnsi" w:cstheme="minorHAnsi"/>
        </w:rPr>
        <w:t xml:space="preserve">ourts may </w:t>
      </w:r>
      <w:r w:rsidR="00E873EB" w:rsidRPr="006450FB">
        <w:rPr>
          <w:rFonts w:asciiTheme="minorHAnsi" w:hAnsiTheme="minorHAnsi" w:cstheme="minorHAnsi"/>
        </w:rPr>
        <w:t>struggle to interpret them in a consistent manner.</w:t>
      </w:r>
    </w:p>
    <w:p w14:paraId="756C1F09" w14:textId="477EEBB9" w:rsidR="00535036" w:rsidRPr="006450FB" w:rsidRDefault="0034484D" w:rsidP="00ED7DEC">
      <w:pPr>
        <w:pStyle w:val="TextindentedLR"/>
        <w:rPr>
          <w:rFonts w:asciiTheme="minorHAnsi" w:hAnsiTheme="minorHAnsi" w:cstheme="minorHAnsi"/>
        </w:rPr>
      </w:pPr>
      <w:r w:rsidRPr="006450FB">
        <w:rPr>
          <w:rFonts w:asciiTheme="minorHAnsi" w:hAnsiTheme="minorHAnsi" w:cstheme="minorHAnsi"/>
        </w:rPr>
        <w:t>While future drafters could draft new exceptions in a consistent manner, a</w:t>
      </w:r>
      <w:r w:rsidR="008D3301" w:rsidRPr="006450FB">
        <w:rPr>
          <w:rFonts w:asciiTheme="minorHAnsi" w:hAnsiTheme="minorHAnsi" w:cstheme="minorHAnsi"/>
        </w:rPr>
        <w:t xml:space="preserve"> redrafting of all the</w:t>
      </w:r>
      <w:r w:rsidRPr="006450FB">
        <w:rPr>
          <w:rFonts w:asciiTheme="minorHAnsi" w:hAnsiTheme="minorHAnsi" w:cstheme="minorHAnsi"/>
        </w:rPr>
        <w:t xml:space="preserve"> existing exceptions</w:t>
      </w:r>
      <w:r w:rsidR="008D3301" w:rsidRPr="006450FB">
        <w:rPr>
          <w:rFonts w:asciiTheme="minorHAnsi" w:hAnsiTheme="minorHAnsi" w:cstheme="minorHAnsi"/>
        </w:rPr>
        <w:t xml:space="preserve"> may not be realistic, given the competing demands in the legislative program. </w:t>
      </w:r>
      <w:r w:rsidR="00B801C0" w:rsidRPr="006450FB">
        <w:rPr>
          <w:rFonts w:asciiTheme="minorHAnsi" w:hAnsiTheme="minorHAnsi" w:cstheme="minorHAnsi"/>
        </w:rPr>
        <w:t>There are some steps that could be taken to introduce a greater measure of order, including</w:t>
      </w:r>
      <w:r w:rsidR="0090273B" w:rsidRPr="006450FB">
        <w:rPr>
          <w:rFonts w:asciiTheme="minorHAnsi" w:hAnsiTheme="minorHAnsi" w:cstheme="minorHAnsi"/>
        </w:rPr>
        <w:t xml:space="preserve"> </w:t>
      </w:r>
      <w:r w:rsidR="005E0772" w:rsidRPr="006450FB">
        <w:rPr>
          <w:rFonts w:asciiTheme="minorHAnsi" w:hAnsiTheme="minorHAnsi" w:cstheme="minorHAnsi"/>
        </w:rPr>
        <w:t>interpretative guidance</w:t>
      </w:r>
      <w:r w:rsidR="00855EBB" w:rsidRPr="006450FB">
        <w:rPr>
          <w:rFonts w:asciiTheme="minorHAnsi" w:hAnsiTheme="minorHAnsi" w:cstheme="minorHAnsi"/>
        </w:rPr>
        <w:t xml:space="preserve"> </w:t>
      </w:r>
      <w:r w:rsidR="0090273B" w:rsidRPr="006450FB">
        <w:rPr>
          <w:rFonts w:asciiTheme="minorHAnsi" w:hAnsiTheme="minorHAnsi" w:cstheme="minorHAnsi"/>
        </w:rPr>
        <w:t xml:space="preserve">to assist the </w:t>
      </w:r>
      <w:r w:rsidR="001F0BBF" w:rsidRPr="006450FB">
        <w:rPr>
          <w:rFonts w:asciiTheme="minorHAnsi" w:hAnsiTheme="minorHAnsi" w:cstheme="minorHAnsi"/>
        </w:rPr>
        <w:t>c</w:t>
      </w:r>
      <w:r w:rsidR="0090273B" w:rsidRPr="006450FB">
        <w:rPr>
          <w:rFonts w:asciiTheme="minorHAnsi" w:hAnsiTheme="minorHAnsi" w:cstheme="minorHAnsi"/>
        </w:rPr>
        <w:t xml:space="preserve">ourt </w:t>
      </w:r>
      <w:r w:rsidR="00BC33A5" w:rsidRPr="006450FB">
        <w:rPr>
          <w:rFonts w:asciiTheme="minorHAnsi" w:hAnsiTheme="minorHAnsi" w:cstheme="minorHAnsi"/>
        </w:rPr>
        <w:t>when interpreting exceptions</w:t>
      </w:r>
      <w:r w:rsidR="0090273B" w:rsidRPr="006450FB">
        <w:rPr>
          <w:rFonts w:asciiTheme="minorHAnsi" w:hAnsiTheme="minorHAnsi" w:cstheme="minorHAnsi"/>
        </w:rPr>
        <w:t xml:space="preserve"> </w:t>
      </w:r>
      <w:r w:rsidR="00855EBB" w:rsidRPr="006450FB">
        <w:rPr>
          <w:rFonts w:asciiTheme="minorHAnsi" w:hAnsiTheme="minorHAnsi" w:cstheme="minorHAnsi"/>
        </w:rPr>
        <w:t xml:space="preserve">in the Commerce </w:t>
      </w:r>
      <w:r w:rsidR="0090273B" w:rsidRPr="006450FB">
        <w:rPr>
          <w:rFonts w:asciiTheme="minorHAnsi" w:hAnsiTheme="minorHAnsi" w:cstheme="minorHAnsi"/>
        </w:rPr>
        <w:t xml:space="preserve">Act, and </w:t>
      </w:r>
      <w:r w:rsidR="004A662C" w:rsidRPr="006450FB">
        <w:rPr>
          <w:rFonts w:asciiTheme="minorHAnsi" w:hAnsiTheme="minorHAnsi" w:cstheme="minorHAnsi"/>
        </w:rPr>
        <w:t>cross references</w:t>
      </w:r>
      <w:r w:rsidR="005E0772" w:rsidRPr="006450FB">
        <w:rPr>
          <w:rFonts w:asciiTheme="minorHAnsi" w:hAnsiTheme="minorHAnsi" w:cstheme="minorHAnsi"/>
        </w:rPr>
        <w:t xml:space="preserve"> to all</w:t>
      </w:r>
      <w:r w:rsidR="00463892" w:rsidRPr="006450FB">
        <w:rPr>
          <w:rFonts w:asciiTheme="minorHAnsi" w:hAnsiTheme="minorHAnsi" w:cstheme="minorHAnsi"/>
        </w:rPr>
        <w:t xml:space="preserve"> such </w:t>
      </w:r>
      <w:r w:rsidR="000251D4" w:rsidRPr="006450FB">
        <w:rPr>
          <w:rFonts w:asciiTheme="minorHAnsi" w:hAnsiTheme="minorHAnsi" w:cstheme="minorHAnsi"/>
        </w:rPr>
        <w:t>exceptions</w:t>
      </w:r>
      <w:r w:rsidR="00463892" w:rsidRPr="006450FB">
        <w:rPr>
          <w:rFonts w:asciiTheme="minorHAnsi" w:hAnsiTheme="minorHAnsi" w:cstheme="minorHAnsi"/>
        </w:rPr>
        <w:t xml:space="preserve"> </w:t>
      </w:r>
      <w:r w:rsidR="00F23A6C" w:rsidRPr="006450FB">
        <w:rPr>
          <w:rFonts w:asciiTheme="minorHAnsi" w:hAnsiTheme="minorHAnsi" w:cstheme="minorHAnsi"/>
        </w:rPr>
        <w:t xml:space="preserve">in an appendix to the </w:t>
      </w:r>
      <w:r w:rsidR="004A662C" w:rsidRPr="006450FB">
        <w:rPr>
          <w:rFonts w:asciiTheme="minorHAnsi" w:hAnsiTheme="minorHAnsi" w:cstheme="minorHAnsi"/>
        </w:rPr>
        <w:t xml:space="preserve">Commerce </w:t>
      </w:r>
      <w:r w:rsidR="00F23A6C" w:rsidRPr="006450FB">
        <w:rPr>
          <w:rFonts w:asciiTheme="minorHAnsi" w:hAnsiTheme="minorHAnsi" w:cstheme="minorHAnsi"/>
        </w:rPr>
        <w:t>Act.</w:t>
      </w:r>
    </w:p>
    <w:p w14:paraId="5B7B652E" w14:textId="01356C34" w:rsidR="00F71FEE" w:rsidRPr="006450FB" w:rsidRDefault="00144065" w:rsidP="00ED7DEC">
      <w:pPr>
        <w:pStyle w:val="TextindentedLR"/>
        <w:rPr>
          <w:rFonts w:asciiTheme="minorHAnsi" w:hAnsiTheme="minorHAnsi" w:cstheme="minorHAnsi"/>
        </w:rPr>
      </w:pPr>
      <w:r w:rsidRPr="006450FB">
        <w:rPr>
          <w:rFonts w:asciiTheme="minorHAnsi" w:hAnsiTheme="minorHAnsi" w:cstheme="minorHAnsi"/>
        </w:rPr>
        <w:t xml:space="preserve">Finally, the Commerce Commission’s ability to grant authorisation to </w:t>
      </w:r>
      <w:r w:rsidR="00FB5CC9" w:rsidRPr="006450FB">
        <w:rPr>
          <w:rFonts w:asciiTheme="minorHAnsi" w:hAnsiTheme="minorHAnsi" w:cstheme="minorHAnsi"/>
        </w:rPr>
        <w:t>conduct</w:t>
      </w:r>
      <w:r w:rsidR="008D0517" w:rsidRPr="006450FB">
        <w:rPr>
          <w:rFonts w:asciiTheme="minorHAnsi" w:hAnsiTheme="minorHAnsi" w:cstheme="minorHAnsi"/>
        </w:rPr>
        <w:t xml:space="preserve"> needs to be noted</w:t>
      </w:r>
      <w:r w:rsidR="00FB5CC9" w:rsidRPr="006450FB">
        <w:rPr>
          <w:rFonts w:asciiTheme="minorHAnsi" w:hAnsiTheme="minorHAnsi" w:cstheme="minorHAnsi"/>
        </w:rPr>
        <w:t>.</w:t>
      </w:r>
      <w:r w:rsidR="00FB5CC9" w:rsidRPr="006450FB">
        <w:rPr>
          <w:rStyle w:val="FootnoteReference"/>
          <w:rFonts w:asciiTheme="minorHAnsi" w:hAnsiTheme="minorHAnsi" w:cstheme="minorHAnsi"/>
          <w:sz w:val="24"/>
          <w:szCs w:val="24"/>
        </w:rPr>
        <w:footnoteReference w:id="41"/>
      </w:r>
      <w:r w:rsidR="00FB5CC9" w:rsidRPr="006450FB">
        <w:rPr>
          <w:rFonts w:asciiTheme="minorHAnsi" w:hAnsiTheme="minorHAnsi" w:cstheme="minorHAnsi"/>
        </w:rPr>
        <w:t xml:space="preserve"> </w:t>
      </w:r>
      <w:r w:rsidR="001A5D79" w:rsidRPr="006450FB">
        <w:rPr>
          <w:rFonts w:asciiTheme="minorHAnsi" w:hAnsiTheme="minorHAnsi" w:cstheme="minorHAnsi"/>
        </w:rPr>
        <w:t>In simple terms, t</w:t>
      </w:r>
      <w:r w:rsidR="00117CE9" w:rsidRPr="006450FB">
        <w:rPr>
          <w:rFonts w:asciiTheme="minorHAnsi" w:hAnsiTheme="minorHAnsi" w:cstheme="minorHAnsi"/>
        </w:rPr>
        <w:t xml:space="preserve">he Commission may authorise conduct where </w:t>
      </w:r>
      <w:r w:rsidR="001A5D79" w:rsidRPr="006450FB">
        <w:rPr>
          <w:rFonts w:asciiTheme="minorHAnsi" w:hAnsiTheme="minorHAnsi" w:cstheme="minorHAnsi"/>
        </w:rPr>
        <w:t xml:space="preserve">the benefit to the public </w:t>
      </w:r>
      <w:r w:rsidR="004F7683" w:rsidRPr="006450FB">
        <w:rPr>
          <w:rFonts w:asciiTheme="minorHAnsi" w:hAnsiTheme="minorHAnsi" w:cstheme="minorHAnsi"/>
        </w:rPr>
        <w:t xml:space="preserve">arising from the conduct </w:t>
      </w:r>
      <w:r w:rsidR="001A5D79" w:rsidRPr="006450FB">
        <w:rPr>
          <w:rFonts w:asciiTheme="minorHAnsi" w:hAnsiTheme="minorHAnsi" w:cstheme="minorHAnsi"/>
        </w:rPr>
        <w:t>exceeds the detriments</w:t>
      </w:r>
      <w:r w:rsidR="004F7683" w:rsidRPr="006450FB">
        <w:rPr>
          <w:rFonts w:asciiTheme="minorHAnsi" w:hAnsiTheme="minorHAnsi" w:cstheme="minorHAnsi"/>
        </w:rPr>
        <w:t xml:space="preserve"> it causes. </w:t>
      </w:r>
      <w:r w:rsidR="00892A29" w:rsidRPr="006450FB">
        <w:rPr>
          <w:rFonts w:asciiTheme="minorHAnsi" w:hAnsiTheme="minorHAnsi" w:cstheme="minorHAnsi"/>
          <w:szCs w:val="32"/>
        </w:rPr>
        <w:t>While conduct is subject to an authorisation from the Commission the restrictive trade practices of the Commerce Act do not apply to it.</w:t>
      </w:r>
      <w:r w:rsidR="00EB44F1" w:rsidRPr="006450FB">
        <w:rPr>
          <w:rStyle w:val="FootnoteReference"/>
          <w:rFonts w:asciiTheme="minorHAnsi" w:hAnsiTheme="minorHAnsi" w:cstheme="minorHAnsi"/>
          <w:sz w:val="24"/>
          <w:szCs w:val="32"/>
        </w:rPr>
        <w:footnoteReference w:id="42"/>
      </w:r>
      <w:r w:rsidR="00892A29" w:rsidRPr="006450FB">
        <w:rPr>
          <w:rFonts w:asciiTheme="minorHAnsi" w:hAnsiTheme="minorHAnsi" w:cstheme="minorHAnsi"/>
          <w:szCs w:val="32"/>
        </w:rPr>
        <w:t xml:space="preserve"> </w:t>
      </w:r>
      <w:r w:rsidR="00905001" w:rsidRPr="006450FB">
        <w:rPr>
          <w:rFonts w:asciiTheme="minorHAnsi" w:hAnsiTheme="minorHAnsi" w:cstheme="minorHAnsi"/>
        </w:rPr>
        <w:t>In some circumstances, public organisations have sought authorisation, such as the TAB (previously the New Zealand Racing Board),</w:t>
      </w:r>
      <w:r w:rsidR="00905001" w:rsidRPr="006450FB">
        <w:rPr>
          <w:rStyle w:val="FootnoteReference"/>
          <w:rFonts w:asciiTheme="minorHAnsi" w:hAnsiTheme="minorHAnsi" w:cstheme="minorHAnsi"/>
          <w:sz w:val="24"/>
          <w:szCs w:val="24"/>
        </w:rPr>
        <w:footnoteReference w:id="43"/>
      </w:r>
      <w:r w:rsidR="00905001" w:rsidRPr="006450FB">
        <w:rPr>
          <w:rFonts w:asciiTheme="minorHAnsi" w:hAnsiTheme="minorHAnsi" w:cstheme="minorHAnsi"/>
        </w:rPr>
        <w:t xml:space="preserve"> the Electricity Corporation of New Zealand,</w:t>
      </w:r>
      <w:r w:rsidR="00905001" w:rsidRPr="006450FB">
        <w:rPr>
          <w:rStyle w:val="FootnoteReference"/>
          <w:rFonts w:asciiTheme="minorHAnsi" w:hAnsiTheme="minorHAnsi" w:cstheme="minorHAnsi"/>
          <w:sz w:val="24"/>
          <w:szCs w:val="24"/>
        </w:rPr>
        <w:footnoteReference w:id="44"/>
      </w:r>
      <w:r w:rsidR="00905001" w:rsidRPr="006450FB">
        <w:rPr>
          <w:rFonts w:asciiTheme="minorHAnsi" w:hAnsiTheme="minorHAnsi" w:cstheme="minorHAnsi"/>
        </w:rPr>
        <w:t xml:space="preserve"> Regional Health Authorities,</w:t>
      </w:r>
      <w:bookmarkStart w:id="8" w:name="_Ref140927659"/>
      <w:r w:rsidR="00905001" w:rsidRPr="006450FB">
        <w:rPr>
          <w:rStyle w:val="FootnoteReference"/>
          <w:rFonts w:asciiTheme="minorHAnsi" w:hAnsiTheme="minorHAnsi" w:cstheme="minorHAnsi"/>
          <w:sz w:val="24"/>
          <w:szCs w:val="24"/>
        </w:rPr>
        <w:footnoteReference w:id="45"/>
      </w:r>
      <w:bookmarkEnd w:id="8"/>
      <w:r w:rsidR="00905001" w:rsidRPr="006450FB">
        <w:rPr>
          <w:rFonts w:asciiTheme="minorHAnsi" w:hAnsiTheme="minorHAnsi" w:cstheme="minorHAnsi"/>
        </w:rPr>
        <w:t xml:space="preserve"> and New Zealand Post.</w:t>
      </w:r>
      <w:r w:rsidR="00905001" w:rsidRPr="006450FB">
        <w:rPr>
          <w:rStyle w:val="FootnoteReference"/>
          <w:rFonts w:asciiTheme="minorHAnsi" w:hAnsiTheme="minorHAnsi" w:cstheme="minorHAnsi"/>
          <w:sz w:val="24"/>
          <w:szCs w:val="24"/>
        </w:rPr>
        <w:footnoteReference w:id="46"/>
      </w:r>
    </w:p>
    <w:p w14:paraId="3CC9CC76" w14:textId="4C79953A" w:rsidR="007A6EDB" w:rsidRPr="006450FB" w:rsidRDefault="00F71FEE" w:rsidP="00ED7DEC">
      <w:pPr>
        <w:pStyle w:val="TextindentedLR"/>
        <w:rPr>
          <w:rFonts w:asciiTheme="minorHAnsi" w:hAnsiTheme="minorHAnsi" w:cstheme="minorHAnsi"/>
        </w:rPr>
      </w:pPr>
      <w:r w:rsidRPr="006450FB">
        <w:rPr>
          <w:rFonts w:asciiTheme="minorHAnsi" w:hAnsiTheme="minorHAnsi" w:cstheme="minorHAnsi"/>
        </w:rPr>
        <w:t xml:space="preserve">In </w:t>
      </w:r>
      <w:r w:rsidRPr="006450FB">
        <w:rPr>
          <w:rFonts w:asciiTheme="minorHAnsi" w:hAnsiTheme="minorHAnsi" w:cstheme="minorHAnsi"/>
          <w:i/>
          <w:iCs/>
        </w:rPr>
        <w:t>NZME Ltd v Commerce Commission</w:t>
      </w:r>
      <w:r w:rsidRPr="006450FB">
        <w:rPr>
          <w:rFonts w:asciiTheme="minorHAnsi" w:hAnsiTheme="minorHAnsi" w:cstheme="minorHAnsi"/>
        </w:rPr>
        <w:t xml:space="preserve">, the Court of Appeal confirmed that </w:t>
      </w:r>
      <w:r w:rsidR="0002235F" w:rsidRPr="006450FB">
        <w:rPr>
          <w:rFonts w:asciiTheme="minorHAnsi" w:hAnsiTheme="minorHAnsi" w:cstheme="minorHAnsi"/>
        </w:rPr>
        <w:t>the Commission</w:t>
      </w:r>
      <w:r w:rsidRPr="006450FB">
        <w:rPr>
          <w:rFonts w:asciiTheme="minorHAnsi" w:hAnsiTheme="minorHAnsi" w:cstheme="minorHAnsi"/>
        </w:rPr>
        <w:t>’</w:t>
      </w:r>
      <w:r w:rsidR="005E2B83" w:rsidRPr="006450FB">
        <w:rPr>
          <w:rFonts w:asciiTheme="minorHAnsi" w:hAnsiTheme="minorHAnsi" w:cstheme="minorHAnsi"/>
        </w:rPr>
        <w:t>s</w:t>
      </w:r>
      <w:r w:rsidRPr="006450FB">
        <w:rPr>
          <w:rFonts w:asciiTheme="minorHAnsi" w:hAnsiTheme="minorHAnsi" w:cstheme="minorHAnsi"/>
        </w:rPr>
        <w:t xml:space="preserve"> analysis need</w:t>
      </w:r>
      <w:r w:rsidR="005E2B83" w:rsidRPr="006450FB">
        <w:rPr>
          <w:rFonts w:asciiTheme="minorHAnsi" w:hAnsiTheme="minorHAnsi" w:cstheme="minorHAnsi"/>
        </w:rPr>
        <w:t xml:space="preserve"> not</w:t>
      </w:r>
      <w:r w:rsidRPr="006450FB">
        <w:rPr>
          <w:rFonts w:asciiTheme="minorHAnsi" w:hAnsiTheme="minorHAnsi" w:cstheme="minorHAnsi"/>
        </w:rPr>
        <w:t xml:space="preserve"> be</w:t>
      </w:r>
      <w:r w:rsidR="005E2B83" w:rsidRPr="006450FB">
        <w:rPr>
          <w:rFonts w:asciiTheme="minorHAnsi" w:hAnsiTheme="minorHAnsi" w:cstheme="minorHAnsi"/>
        </w:rPr>
        <w:t xml:space="preserve"> confined to </w:t>
      </w:r>
      <w:r w:rsidR="007E5B44" w:rsidRPr="006450FB">
        <w:rPr>
          <w:rFonts w:asciiTheme="minorHAnsi" w:hAnsiTheme="minorHAnsi" w:cstheme="minorHAnsi"/>
        </w:rPr>
        <w:t xml:space="preserve">weighing </w:t>
      </w:r>
      <w:r w:rsidR="005E2B83" w:rsidRPr="006450FB">
        <w:rPr>
          <w:rFonts w:asciiTheme="minorHAnsi" w:hAnsiTheme="minorHAnsi" w:cstheme="minorHAnsi"/>
        </w:rPr>
        <w:t>benefits</w:t>
      </w:r>
      <w:r w:rsidR="007E5B44" w:rsidRPr="006450FB">
        <w:rPr>
          <w:rFonts w:asciiTheme="minorHAnsi" w:hAnsiTheme="minorHAnsi" w:cstheme="minorHAnsi"/>
        </w:rPr>
        <w:t xml:space="preserve"> and costs</w:t>
      </w:r>
      <w:r w:rsidR="005E2B83" w:rsidRPr="006450FB">
        <w:rPr>
          <w:rFonts w:asciiTheme="minorHAnsi" w:hAnsiTheme="minorHAnsi" w:cstheme="minorHAnsi"/>
        </w:rPr>
        <w:t xml:space="preserve"> in the form of economic efficiency.</w:t>
      </w:r>
      <w:r w:rsidR="00C35BBD" w:rsidRPr="006450FB">
        <w:rPr>
          <w:rStyle w:val="FootnoteReference"/>
          <w:rFonts w:asciiTheme="minorHAnsi" w:hAnsiTheme="minorHAnsi" w:cstheme="minorHAnsi"/>
          <w:sz w:val="24"/>
          <w:szCs w:val="24"/>
        </w:rPr>
        <w:footnoteReference w:id="47"/>
      </w:r>
      <w:r w:rsidR="0036730C" w:rsidRPr="006450FB">
        <w:rPr>
          <w:rFonts w:asciiTheme="minorHAnsi" w:hAnsiTheme="minorHAnsi" w:cstheme="minorHAnsi"/>
        </w:rPr>
        <w:t xml:space="preserve"> As the Court noted, although the Commission may not possess significant expertise in relation to other benefits, its processes enable it to obtain that expertise where necessary.</w:t>
      </w:r>
      <w:r w:rsidR="0036730C" w:rsidRPr="006450FB">
        <w:rPr>
          <w:rStyle w:val="FootnoteReference"/>
          <w:rFonts w:asciiTheme="minorHAnsi" w:hAnsiTheme="minorHAnsi" w:cstheme="minorHAnsi"/>
          <w:sz w:val="24"/>
          <w:szCs w:val="24"/>
        </w:rPr>
        <w:footnoteReference w:id="48"/>
      </w:r>
      <w:r w:rsidR="005E2B83" w:rsidRPr="006450FB">
        <w:rPr>
          <w:rFonts w:asciiTheme="minorHAnsi" w:hAnsiTheme="minorHAnsi" w:cstheme="minorHAnsi"/>
        </w:rPr>
        <w:t xml:space="preserve"> It has previous</w:t>
      </w:r>
      <w:r w:rsidR="007E5B44" w:rsidRPr="006450FB">
        <w:rPr>
          <w:rFonts w:asciiTheme="minorHAnsi" w:hAnsiTheme="minorHAnsi" w:cstheme="minorHAnsi"/>
        </w:rPr>
        <w:t>ly</w:t>
      </w:r>
      <w:r w:rsidR="005E2B83" w:rsidRPr="006450FB">
        <w:rPr>
          <w:rFonts w:asciiTheme="minorHAnsi" w:hAnsiTheme="minorHAnsi" w:cstheme="minorHAnsi"/>
        </w:rPr>
        <w:t xml:space="preserve"> </w:t>
      </w:r>
      <w:r w:rsidR="005E2B83" w:rsidRPr="006450FB">
        <w:rPr>
          <w:rFonts w:asciiTheme="minorHAnsi" w:hAnsiTheme="minorHAnsi" w:cstheme="minorHAnsi"/>
        </w:rPr>
        <w:lastRenderedPageBreak/>
        <w:t>considered a range of public benefits including</w:t>
      </w:r>
      <w:r w:rsidR="001D7BC2" w:rsidRPr="006450FB">
        <w:rPr>
          <w:rFonts w:asciiTheme="minorHAnsi" w:hAnsiTheme="minorHAnsi" w:cstheme="minorHAnsi"/>
        </w:rPr>
        <w:t xml:space="preserve"> reduced pollution,</w:t>
      </w:r>
      <w:r w:rsidR="001D7BC2" w:rsidRPr="006450FB">
        <w:rPr>
          <w:rStyle w:val="FootnoteReference"/>
          <w:rFonts w:asciiTheme="minorHAnsi" w:hAnsiTheme="minorHAnsi" w:cstheme="minorHAnsi"/>
          <w:sz w:val="24"/>
          <w:szCs w:val="24"/>
        </w:rPr>
        <w:footnoteReference w:id="49"/>
      </w:r>
      <w:r w:rsidR="001D7BC2" w:rsidRPr="006450FB">
        <w:rPr>
          <w:rFonts w:asciiTheme="minorHAnsi" w:hAnsiTheme="minorHAnsi" w:cstheme="minorHAnsi"/>
        </w:rPr>
        <w:t xml:space="preserve"> health benefits of breastfeeding,</w:t>
      </w:r>
      <w:r w:rsidR="00F01693" w:rsidRPr="006450FB">
        <w:rPr>
          <w:rStyle w:val="FootnoteReference"/>
          <w:rFonts w:asciiTheme="minorHAnsi" w:hAnsiTheme="minorHAnsi" w:cstheme="minorHAnsi"/>
          <w:sz w:val="24"/>
          <w:szCs w:val="24"/>
        </w:rPr>
        <w:footnoteReference w:id="50"/>
      </w:r>
      <w:r w:rsidR="001D7BC2" w:rsidRPr="006450FB">
        <w:rPr>
          <w:rFonts w:asciiTheme="minorHAnsi" w:hAnsiTheme="minorHAnsi" w:cstheme="minorHAnsi"/>
        </w:rPr>
        <w:t xml:space="preserve"> </w:t>
      </w:r>
      <w:r w:rsidR="007E5B44" w:rsidRPr="006450FB">
        <w:rPr>
          <w:rFonts w:asciiTheme="minorHAnsi" w:hAnsiTheme="minorHAnsi" w:cstheme="minorHAnsi"/>
        </w:rPr>
        <w:t xml:space="preserve">media </w:t>
      </w:r>
      <w:r w:rsidR="00903DC3" w:rsidRPr="006450FB">
        <w:rPr>
          <w:rFonts w:asciiTheme="minorHAnsi" w:hAnsiTheme="minorHAnsi" w:cstheme="minorHAnsi"/>
        </w:rPr>
        <w:t>plurality,</w:t>
      </w:r>
      <w:r w:rsidR="00903DC3" w:rsidRPr="006450FB">
        <w:rPr>
          <w:rStyle w:val="FootnoteReference"/>
          <w:rFonts w:asciiTheme="minorHAnsi" w:hAnsiTheme="minorHAnsi" w:cstheme="minorHAnsi"/>
          <w:sz w:val="24"/>
          <w:szCs w:val="24"/>
        </w:rPr>
        <w:footnoteReference w:id="51"/>
      </w:r>
      <w:r w:rsidR="00903DC3" w:rsidRPr="006450FB">
        <w:rPr>
          <w:rFonts w:asciiTheme="minorHAnsi" w:hAnsiTheme="minorHAnsi" w:cstheme="minorHAnsi"/>
        </w:rPr>
        <w:t xml:space="preserve"> reduced stigma for psychiatric patients,</w:t>
      </w:r>
      <w:r w:rsidR="00903DC3" w:rsidRPr="006450FB">
        <w:rPr>
          <w:rStyle w:val="FootnoteReference"/>
          <w:rFonts w:asciiTheme="minorHAnsi" w:hAnsiTheme="minorHAnsi" w:cstheme="minorHAnsi"/>
          <w:sz w:val="24"/>
          <w:szCs w:val="24"/>
        </w:rPr>
        <w:footnoteReference w:id="52"/>
      </w:r>
      <w:r w:rsidR="00903DC3" w:rsidRPr="006450FB">
        <w:rPr>
          <w:rFonts w:asciiTheme="minorHAnsi" w:hAnsiTheme="minorHAnsi" w:cstheme="minorHAnsi"/>
        </w:rPr>
        <w:t xml:space="preserve"> </w:t>
      </w:r>
      <w:r w:rsidR="001D7BC2" w:rsidRPr="006450FB">
        <w:rPr>
          <w:rFonts w:asciiTheme="minorHAnsi" w:hAnsiTheme="minorHAnsi" w:cstheme="minorHAnsi"/>
        </w:rPr>
        <w:t>safer handling of hazardous substances,</w:t>
      </w:r>
      <w:r w:rsidR="00F01693" w:rsidRPr="006450FB">
        <w:rPr>
          <w:rStyle w:val="FootnoteReference"/>
          <w:rFonts w:asciiTheme="minorHAnsi" w:hAnsiTheme="minorHAnsi" w:cstheme="minorHAnsi"/>
          <w:sz w:val="24"/>
          <w:szCs w:val="24"/>
        </w:rPr>
        <w:footnoteReference w:id="53"/>
      </w:r>
      <w:r w:rsidR="001D7BC2" w:rsidRPr="006450FB">
        <w:rPr>
          <w:rFonts w:asciiTheme="minorHAnsi" w:hAnsiTheme="minorHAnsi" w:cstheme="minorHAnsi"/>
        </w:rPr>
        <w:t xml:space="preserve"> and social effects of plant closures.</w:t>
      </w:r>
      <w:r w:rsidR="008C7AD6" w:rsidRPr="006450FB">
        <w:rPr>
          <w:rStyle w:val="FootnoteReference"/>
          <w:rFonts w:asciiTheme="minorHAnsi" w:hAnsiTheme="minorHAnsi" w:cstheme="minorHAnsi"/>
          <w:sz w:val="24"/>
          <w:szCs w:val="24"/>
        </w:rPr>
        <w:footnoteReference w:id="54"/>
      </w:r>
    </w:p>
    <w:p w14:paraId="7B474D45" w14:textId="3C84D7A4" w:rsidR="00535036" w:rsidRPr="006450FB" w:rsidRDefault="00EB44F1" w:rsidP="00ED7DEC">
      <w:pPr>
        <w:pStyle w:val="TextindentedLR"/>
        <w:rPr>
          <w:rFonts w:asciiTheme="minorHAnsi" w:hAnsiTheme="minorHAnsi" w:cstheme="minorHAnsi"/>
          <w:szCs w:val="32"/>
        </w:rPr>
      </w:pPr>
      <w:r w:rsidRPr="006450FB">
        <w:rPr>
          <w:rFonts w:asciiTheme="minorHAnsi" w:hAnsiTheme="minorHAnsi" w:cstheme="minorHAnsi"/>
          <w:szCs w:val="32"/>
        </w:rPr>
        <w:t xml:space="preserve">The Commission operates a transparent process </w:t>
      </w:r>
      <w:r w:rsidR="009543E3" w:rsidRPr="006450FB">
        <w:rPr>
          <w:rFonts w:asciiTheme="minorHAnsi" w:hAnsiTheme="minorHAnsi" w:cstheme="minorHAnsi"/>
          <w:szCs w:val="32"/>
        </w:rPr>
        <w:t xml:space="preserve">when considering an application for authorisation. </w:t>
      </w:r>
      <w:r w:rsidR="001712E8" w:rsidRPr="006450FB">
        <w:rPr>
          <w:rFonts w:asciiTheme="minorHAnsi" w:hAnsiTheme="minorHAnsi" w:cstheme="minorHAnsi"/>
          <w:szCs w:val="32"/>
        </w:rPr>
        <w:t xml:space="preserve">In deciding whether to authorise conduct, it is the Commission’s practice to undertake extensive consultation, including consultation </w:t>
      </w:r>
      <w:r w:rsidR="00717BA1" w:rsidRPr="006450FB">
        <w:rPr>
          <w:rFonts w:asciiTheme="minorHAnsi" w:hAnsiTheme="minorHAnsi" w:cstheme="minorHAnsi"/>
          <w:szCs w:val="32"/>
        </w:rPr>
        <w:t>of affected parties. A</w:t>
      </w:r>
      <w:r w:rsidR="001712E8" w:rsidRPr="006450FB">
        <w:rPr>
          <w:rFonts w:asciiTheme="minorHAnsi" w:hAnsiTheme="minorHAnsi" w:cstheme="minorHAnsi"/>
          <w:szCs w:val="32"/>
        </w:rPr>
        <w:t xml:space="preserve"> draft</w:t>
      </w:r>
      <w:r w:rsidR="002301E2" w:rsidRPr="006450FB">
        <w:rPr>
          <w:rFonts w:asciiTheme="minorHAnsi" w:hAnsiTheme="minorHAnsi" w:cstheme="minorHAnsi"/>
          <w:szCs w:val="32"/>
        </w:rPr>
        <w:t xml:space="preserve"> decision</w:t>
      </w:r>
      <w:r w:rsidR="00717BA1" w:rsidRPr="006450FB">
        <w:rPr>
          <w:rFonts w:asciiTheme="minorHAnsi" w:hAnsiTheme="minorHAnsi" w:cstheme="minorHAnsi"/>
          <w:szCs w:val="32"/>
        </w:rPr>
        <w:t xml:space="preserve"> is usually published</w:t>
      </w:r>
      <w:r w:rsidR="00530D17" w:rsidRPr="006450FB">
        <w:rPr>
          <w:rFonts w:asciiTheme="minorHAnsi" w:hAnsiTheme="minorHAnsi" w:cstheme="minorHAnsi"/>
          <w:szCs w:val="32"/>
        </w:rPr>
        <w:t>, on which submissions and cross submissions are made</w:t>
      </w:r>
      <w:r w:rsidR="002301E2" w:rsidRPr="006450FB">
        <w:rPr>
          <w:rFonts w:asciiTheme="minorHAnsi" w:hAnsiTheme="minorHAnsi" w:cstheme="minorHAnsi"/>
          <w:szCs w:val="32"/>
        </w:rPr>
        <w:t>.</w:t>
      </w:r>
      <w:r w:rsidR="00717BA1" w:rsidRPr="006450FB">
        <w:rPr>
          <w:rFonts w:asciiTheme="minorHAnsi" w:hAnsiTheme="minorHAnsi" w:cstheme="minorHAnsi"/>
          <w:szCs w:val="32"/>
        </w:rPr>
        <w:t xml:space="preserve"> Oral hearings are frequently held. </w:t>
      </w:r>
      <w:r w:rsidR="002301E2" w:rsidRPr="006450FB">
        <w:rPr>
          <w:rFonts w:asciiTheme="minorHAnsi" w:hAnsiTheme="minorHAnsi" w:cstheme="minorHAnsi"/>
          <w:szCs w:val="32"/>
        </w:rPr>
        <w:t>The Commission’s final reasons for authorisation are provided in writing, and usually</w:t>
      </w:r>
      <w:r w:rsidR="009543E3" w:rsidRPr="006450FB">
        <w:rPr>
          <w:rFonts w:asciiTheme="minorHAnsi" w:hAnsiTheme="minorHAnsi" w:cstheme="minorHAnsi"/>
          <w:szCs w:val="32"/>
        </w:rPr>
        <w:t xml:space="preserve"> provide</w:t>
      </w:r>
      <w:r w:rsidR="002301E2" w:rsidRPr="006450FB">
        <w:rPr>
          <w:rFonts w:asciiTheme="minorHAnsi" w:hAnsiTheme="minorHAnsi" w:cstheme="minorHAnsi"/>
          <w:szCs w:val="32"/>
        </w:rPr>
        <w:t xml:space="preserve"> extensive</w:t>
      </w:r>
      <w:r w:rsidR="009543E3" w:rsidRPr="006450FB">
        <w:rPr>
          <w:rFonts w:asciiTheme="minorHAnsi" w:hAnsiTheme="minorHAnsi" w:cstheme="minorHAnsi"/>
          <w:szCs w:val="32"/>
        </w:rPr>
        <w:t xml:space="preserve"> justification</w:t>
      </w:r>
      <w:r w:rsidR="002301E2" w:rsidRPr="006450FB">
        <w:rPr>
          <w:rFonts w:asciiTheme="minorHAnsi" w:hAnsiTheme="minorHAnsi" w:cstheme="minorHAnsi"/>
          <w:szCs w:val="32"/>
        </w:rPr>
        <w:t>.</w:t>
      </w:r>
      <w:r w:rsidR="00DE0CB0" w:rsidRPr="006450FB">
        <w:rPr>
          <w:rFonts w:asciiTheme="minorHAnsi" w:hAnsiTheme="minorHAnsi" w:cstheme="minorHAnsi"/>
          <w:szCs w:val="32"/>
        </w:rPr>
        <w:t xml:space="preserve"> The Commission may impose conditions on authorisation</w:t>
      </w:r>
      <w:r w:rsidR="00E61211" w:rsidRPr="006450FB">
        <w:rPr>
          <w:rFonts w:asciiTheme="minorHAnsi" w:hAnsiTheme="minorHAnsi" w:cstheme="minorHAnsi"/>
          <w:szCs w:val="32"/>
        </w:rPr>
        <w:t>.</w:t>
      </w:r>
      <w:r w:rsidR="00E61211" w:rsidRPr="006450FB">
        <w:rPr>
          <w:rStyle w:val="FootnoteReference"/>
          <w:rFonts w:asciiTheme="minorHAnsi" w:hAnsiTheme="minorHAnsi" w:cstheme="minorHAnsi"/>
          <w:sz w:val="24"/>
          <w:szCs w:val="32"/>
        </w:rPr>
        <w:footnoteReference w:id="55"/>
      </w:r>
      <w:r w:rsidR="002301E2" w:rsidRPr="006450FB">
        <w:rPr>
          <w:rFonts w:asciiTheme="minorHAnsi" w:hAnsiTheme="minorHAnsi" w:cstheme="minorHAnsi"/>
          <w:szCs w:val="32"/>
        </w:rPr>
        <w:t xml:space="preserve"> Affected parties </w:t>
      </w:r>
      <w:r w:rsidR="004B0390" w:rsidRPr="006450FB">
        <w:rPr>
          <w:rFonts w:asciiTheme="minorHAnsi" w:hAnsiTheme="minorHAnsi" w:cstheme="minorHAnsi"/>
          <w:szCs w:val="32"/>
        </w:rPr>
        <w:t xml:space="preserve">who participated in the Commission’s process </w:t>
      </w:r>
      <w:r w:rsidR="002301E2" w:rsidRPr="006450FB">
        <w:rPr>
          <w:rFonts w:asciiTheme="minorHAnsi" w:hAnsiTheme="minorHAnsi" w:cstheme="minorHAnsi"/>
          <w:szCs w:val="32"/>
        </w:rPr>
        <w:t>may appeal to the High Court.</w:t>
      </w:r>
      <w:r w:rsidR="002301E2" w:rsidRPr="006450FB">
        <w:rPr>
          <w:rStyle w:val="FootnoteReference"/>
          <w:rFonts w:asciiTheme="minorHAnsi" w:hAnsiTheme="minorHAnsi" w:cstheme="minorHAnsi"/>
          <w:sz w:val="24"/>
          <w:szCs w:val="32"/>
        </w:rPr>
        <w:footnoteReference w:id="56"/>
      </w:r>
    </w:p>
    <w:p w14:paraId="27F97383" w14:textId="2B36575A" w:rsidR="00FC0CE4" w:rsidRPr="006450FB" w:rsidRDefault="00535036" w:rsidP="00ED7DEC">
      <w:pPr>
        <w:pStyle w:val="Heading1LR"/>
        <w:rPr>
          <w:rFonts w:asciiTheme="minorHAnsi" w:hAnsiTheme="minorHAnsi" w:cstheme="minorHAnsi"/>
        </w:rPr>
      </w:pPr>
      <w:r w:rsidRPr="006450FB">
        <w:rPr>
          <w:rFonts w:asciiTheme="minorHAnsi" w:hAnsiTheme="minorHAnsi" w:cstheme="minorHAnsi"/>
        </w:rPr>
        <w:t>III</w:t>
      </w:r>
      <w:r w:rsidR="001112A6" w:rsidRPr="006450FB">
        <w:rPr>
          <w:rFonts w:asciiTheme="minorHAnsi" w:hAnsiTheme="minorHAnsi" w:cstheme="minorHAnsi"/>
        </w:rPr>
        <w:t xml:space="preserve">  </w:t>
      </w:r>
      <w:r w:rsidR="006C6D25" w:rsidRPr="006450FB">
        <w:rPr>
          <w:rFonts w:asciiTheme="minorHAnsi" w:hAnsiTheme="minorHAnsi" w:cstheme="minorHAnsi"/>
        </w:rPr>
        <w:t xml:space="preserve">Is it </w:t>
      </w:r>
      <w:r w:rsidR="00ED7DEC" w:rsidRPr="006450FB">
        <w:rPr>
          <w:rFonts w:asciiTheme="minorHAnsi" w:hAnsiTheme="minorHAnsi" w:cstheme="minorHAnsi"/>
        </w:rPr>
        <w:t>C</w:t>
      </w:r>
      <w:r w:rsidR="006C6D25" w:rsidRPr="006450FB">
        <w:rPr>
          <w:rFonts w:asciiTheme="minorHAnsi" w:hAnsiTheme="minorHAnsi" w:cstheme="minorHAnsi"/>
        </w:rPr>
        <w:t xml:space="preserve">lear </w:t>
      </w:r>
      <w:r w:rsidR="00ED7DEC" w:rsidRPr="006450FB">
        <w:rPr>
          <w:rFonts w:asciiTheme="minorHAnsi" w:hAnsiTheme="minorHAnsi" w:cstheme="minorHAnsi"/>
        </w:rPr>
        <w:t>W</w:t>
      </w:r>
      <w:r w:rsidR="00FC51A9" w:rsidRPr="006450FB">
        <w:rPr>
          <w:rFonts w:asciiTheme="minorHAnsi" w:hAnsiTheme="minorHAnsi" w:cstheme="minorHAnsi"/>
        </w:rPr>
        <w:t>ho</w:t>
      </w:r>
      <w:r w:rsidR="00A40717" w:rsidRPr="006450FB">
        <w:rPr>
          <w:rFonts w:asciiTheme="minorHAnsi" w:hAnsiTheme="minorHAnsi" w:cstheme="minorHAnsi"/>
        </w:rPr>
        <w:t xml:space="preserve"> “</w:t>
      </w:r>
      <w:r w:rsidR="00FC0CE4" w:rsidRPr="006450FB">
        <w:rPr>
          <w:rFonts w:asciiTheme="minorHAnsi" w:hAnsiTheme="minorHAnsi" w:cstheme="minorHAnsi"/>
        </w:rPr>
        <w:t>the Crown</w:t>
      </w:r>
      <w:r w:rsidR="00A40717" w:rsidRPr="006450FB">
        <w:rPr>
          <w:rFonts w:asciiTheme="minorHAnsi" w:hAnsiTheme="minorHAnsi" w:cstheme="minorHAnsi"/>
        </w:rPr>
        <w:t>”</w:t>
      </w:r>
      <w:r w:rsidR="006C6D25" w:rsidRPr="006450FB">
        <w:rPr>
          <w:rFonts w:asciiTheme="minorHAnsi" w:hAnsiTheme="minorHAnsi" w:cstheme="minorHAnsi"/>
        </w:rPr>
        <w:t xml:space="preserve"> is </w:t>
      </w:r>
      <w:r w:rsidR="00A40717" w:rsidRPr="006450FB">
        <w:rPr>
          <w:rFonts w:asciiTheme="minorHAnsi" w:hAnsiTheme="minorHAnsi" w:cstheme="minorHAnsi"/>
        </w:rPr>
        <w:t xml:space="preserve">in </w:t>
      </w:r>
      <w:r w:rsidR="00ED7DEC" w:rsidRPr="006450FB">
        <w:rPr>
          <w:rFonts w:asciiTheme="minorHAnsi" w:hAnsiTheme="minorHAnsi" w:cstheme="minorHAnsi"/>
        </w:rPr>
        <w:t>M</w:t>
      </w:r>
      <w:r w:rsidR="00A40717" w:rsidRPr="006450FB">
        <w:rPr>
          <w:rFonts w:asciiTheme="minorHAnsi" w:hAnsiTheme="minorHAnsi" w:cstheme="minorHAnsi"/>
        </w:rPr>
        <w:t>odern New Zealand</w:t>
      </w:r>
      <w:r w:rsidR="00FC51A9" w:rsidRPr="006450FB">
        <w:rPr>
          <w:rFonts w:asciiTheme="minorHAnsi" w:hAnsiTheme="minorHAnsi" w:cstheme="minorHAnsi"/>
        </w:rPr>
        <w:t>?</w:t>
      </w:r>
    </w:p>
    <w:p w14:paraId="51828C8D" w14:textId="6027398A" w:rsidR="00450FB1" w:rsidRPr="006450FB" w:rsidRDefault="00720920" w:rsidP="00ED7DEC">
      <w:pPr>
        <w:pStyle w:val="TextnoindentLR"/>
        <w:rPr>
          <w:rFonts w:asciiTheme="minorHAnsi" w:hAnsiTheme="minorHAnsi" w:cstheme="minorHAnsi"/>
          <w:szCs w:val="24"/>
        </w:rPr>
      </w:pPr>
      <w:r w:rsidRPr="006450FB">
        <w:rPr>
          <w:rFonts w:asciiTheme="minorHAnsi" w:hAnsiTheme="minorHAnsi" w:cstheme="minorHAnsi"/>
        </w:rPr>
        <w:t xml:space="preserve">Although the Legislation Act provides guidance as to when legislation will bind the Crown, it does not attempt to address the question of who </w:t>
      </w:r>
      <w:r w:rsidR="00312AC6" w:rsidRPr="006450FB">
        <w:rPr>
          <w:rFonts w:asciiTheme="minorHAnsi" w:hAnsiTheme="minorHAnsi" w:cstheme="minorHAnsi"/>
        </w:rPr>
        <w:t>the Crown is</w:t>
      </w:r>
      <w:r w:rsidRPr="006450FB">
        <w:rPr>
          <w:rFonts w:asciiTheme="minorHAnsi" w:hAnsiTheme="minorHAnsi" w:cstheme="minorHAnsi"/>
        </w:rPr>
        <w:t xml:space="preserve">. </w:t>
      </w:r>
      <w:r w:rsidR="001540FF" w:rsidRPr="006450FB">
        <w:rPr>
          <w:rFonts w:asciiTheme="minorHAnsi" w:hAnsiTheme="minorHAnsi" w:cstheme="minorHAnsi"/>
        </w:rPr>
        <w:t xml:space="preserve">The Commerce Act is likewise silent. </w:t>
      </w:r>
      <w:r w:rsidR="008530FF" w:rsidRPr="006450FB">
        <w:rPr>
          <w:rFonts w:asciiTheme="minorHAnsi" w:hAnsiTheme="minorHAnsi" w:cstheme="minorHAnsi"/>
          <w:szCs w:val="24"/>
        </w:rPr>
        <w:t>Given the foundational role of the Crown in New Zealand’s constitutional and legal order, it might be expected that it was obvious who or what the Crown is, beyond</w:t>
      </w:r>
      <w:r w:rsidR="00C868C1" w:rsidRPr="006450FB">
        <w:rPr>
          <w:rFonts w:asciiTheme="minorHAnsi" w:hAnsiTheme="minorHAnsi" w:cstheme="minorHAnsi"/>
          <w:szCs w:val="24"/>
        </w:rPr>
        <w:t xml:space="preserve"> being</w:t>
      </w:r>
      <w:r w:rsidR="008530FF" w:rsidRPr="006450FB">
        <w:rPr>
          <w:rFonts w:asciiTheme="minorHAnsi" w:hAnsiTheme="minorHAnsi" w:cstheme="minorHAnsi"/>
          <w:szCs w:val="24"/>
        </w:rPr>
        <w:t xml:space="preserve"> “a piece of jewelled headgear under guard at the Tower of London”.</w:t>
      </w:r>
      <w:r w:rsidR="008530FF" w:rsidRPr="006450FB">
        <w:rPr>
          <w:rStyle w:val="FootnoteReference"/>
          <w:rFonts w:asciiTheme="minorHAnsi" w:hAnsiTheme="minorHAnsi" w:cstheme="minorHAnsi"/>
          <w:sz w:val="24"/>
          <w:szCs w:val="24"/>
        </w:rPr>
        <w:footnoteReference w:id="57"/>
      </w:r>
    </w:p>
    <w:p w14:paraId="2DEE9819" w14:textId="5EC1D044" w:rsidR="00450FB1" w:rsidRPr="006450FB" w:rsidRDefault="00F77701" w:rsidP="00ED7DEC">
      <w:pPr>
        <w:pStyle w:val="TextindentedLR"/>
        <w:rPr>
          <w:rFonts w:asciiTheme="minorHAnsi" w:hAnsiTheme="minorHAnsi" w:cstheme="minorHAnsi"/>
        </w:rPr>
      </w:pPr>
      <w:r w:rsidRPr="006450FB">
        <w:rPr>
          <w:rFonts w:asciiTheme="minorHAnsi" w:hAnsiTheme="minorHAnsi" w:cstheme="minorHAnsi"/>
        </w:rPr>
        <w:t xml:space="preserve">The authors of </w:t>
      </w:r>
      <w:r w:rsidRPr="006450FB">
        <w:rPr>
          <w:rFonts w:asciiTheme="minorHAnsi" w:hAnsiTheme="minorHAnsi" w:cstheme="minorHAnsi"/>
          <w:i/>
          <w:iCs/>
        </w:rPr>
        <w:t>Gault on Commercial Law</w:t>
      </w:r>
      <w:r w:rsidRPr="006450FB">
        <w:rPr>
          <w:rFonts w:asciiTheme="minorHAnsi" w:hAnsiTheme="minorHAnsi" w:cstheme="minorHAnsi"/>
        </w:rPr>
        <w:t xml:space="preserve"> suggest that “all Government and quasi-Government bodies which are not Crown corporations” can be treated as the Crown.</w:t>
      </w:r>
      <w:r w:rsidRPr="006450FB">
        <w:rPr>
          <w:rStyle w:val="FootnoteReference"/>
          <w:rFonts w:asciiTheme="minorHAnsi" w:hAnsiTheme="minorHAnsi" w:cstheme="minorHAnsi"/>
          <w:sz w:val="24"/>
          <w:szCs w:val="24"/>
        </w:rPr>
        <w:footnoteReference w:id="58"/>
      </w:r>
      <w:r w:rsidRPr="006450FB">
        <w:rPr>
          <w:rFonts w:asciiTheme="minorHAnsi" w:hAnsiTheme="minorHAnsi" w:cstheme="minorHAnsi"/>
        </w:rPr>
        <w:t xml:space="preserve"> That appears to be a pragmatic response</w:t>
      </w:r>
      <w:r w:rsidR="008530FF" w:rsidRPr="006450FB">
        <w:rPr>
          <w:rFonts w:asciiTheme="minorHAnsi" w:hAnsiTheme="minorHAnsi" w:cstheme="minorHAnsi"/>
        </w:rPr>
        <w:t xml:space="preserve">, but </w:t>
      </w:r>
      <w:r w:rsidR="00A77746" w:rsidRPr="006450FB">
        <w:rPr>
          <w:rFonts w:asciiTheme="minorHAnsi" w:hAnsiTheme="minorHAnsi" w:cstheme="minorHAnsi"/>
        </w:rPr>
        <w:t>perhaps an oversimplification</w:t>
      </w:r>
      <w:r w:rsidRPr="006450FB">
        <w:rPr>
          <w:rFonts w:asciiTheme="minorHAnsi" w:hAnsiTheme="minorHAnsi" w:cstheme="minorHAnsi"/>
        </w:rPr>
        <w:t>.</w:t>
      </w:r>
      <w:r w:rsidR="00DE10DC" w:rsidRPr="006450FB">
        <w:rPr>
          <w:rFonts w:asciiTheme="minorHAnsi" w:hAnsiTheme="minorHAnsi" w:cstheme="minorHAnsi"/>
        </w:rPr>
        <w:t xml:space="preserve"> </w:t>
      </w:r>
      <w:r w:rsidR="00ED06B3" w:rsidRPr="006450FB">
        <w:rPr>
          <w:rFonts w:asciiTheme="minorHAnsi" w:hAnsiTheme="minorHAnsi" w:cstheme="minorHAnsi"/>
        </w:rPr>
        <w:t xml:space="preserve">As Williams </w:t>
      </w:r>
      <w:r w:rsidR="00C64DB9" w:rsidRPr="006450FB">
        <w:rPr>
          <w:rFonts w:asciiTheme="minorHAnsi" w:hAnsiTheme="minorHAnsi" w:cstheme="minorHAnsi"/>
        </w:rPr>
        <w:t xml:space="preserve">J </w:t>
      </w:r>
      <w:r w:rsidR="00ED06B3" w:rsidRPr="006450FB">
        <w:rPr>
          <w:rFonts w:asciiTheme="minorHAnsi" w:hAnsiTheme="minorHAnsi" w:cstheme="minorHAnsi"/>
        </w:rPr>
        <w:t>has recently noted</w:t>
      </w:r>
      <w:r w:rsidR="00A03352" w:rsidRPr="006450FB">
        <w:rPr>
          <w:rFonts w:asciiTheme="minorHAnsi" w:hAnsiTheme="minorHAnsi" w:cstheme="minorHAnsi"/>
        </w:rPr>
        <w:t xml:space="preserve"> in </w:t>
      </w:r>
      <w:r w:rsidR="00A03352" w:rsidRPr="006450FB">
        <w:rPr>
          <w:rFonts w:asciiTheme="minorHAnsi" w:hAnsiTheme="minorHAnsi" w:cstheme="minorHAnsi"/>
          <w:i/>
          <w:iCs/>
        </w:rPr>
        <w:t>Stafford v Accident Competition Corporation</w:t>
      </w:r>
      <w:r w:rsidR="00ED06B3" w:rsidRPr="006450FB">
        <w:rPr>
          <w:rFonts w:asciiTheme="minorHAnsi" w:hAnsiTheme="minorHAnsi" w:cstheme="minorHAnsi"/>
        </w:rPr>
        <w:t>,</w:t>
      </w:r>
      <w:r w:rsidR="00A03352" w:rsidRPr="006450FB">
        <w:rPr>
          <w:rStyle w:val="FootnoteReference"/>
          <w:rFonts w:asciiTheme="minorHAnsi" w:hAnsiTheme="minorHAnsi" w:cstheme="minorHAnsi"/>
          <w:sz w:val="24"/>
          <w:szCs w:val="24"/>
        </w:rPr>
        <w:footnoteReference w:id="59"/>
      </w:r>
      <w:r w:rsidR="00ED06B3" w:rsidRPr="006450FB">
        <w:rPr>
          <w:rFonts w:asciiTheme="minorHAnsi" w:hAnsiTheme="minorHAnsi" w:cstheme="minorHAnsi"/>
        </w:rPr>
        <w:t xml:space="preserve"> citing Dame Alison Quentin-Baxter and Professor </w:t>
      </w:r>
      <w:r w:rsidR="00C64DB9" w:rsidRPr="006450FB">
        <w:rPr>
          <w:rFonts w:asciiTheme="minorHAnsi" w:hAnsiTheme="minorHAnsi" w:cstheme="minorHAnsi"/>
        </w:rPr>
        <w:t xml:space="preserve">Janet </w:t>
      </w:r>
      <w:r w:rsidR="00ED06B3" w:rsidRPr="006450FB">
        <w:rPr>
          <w:rFonts w:asciiTheme="minorHAnsi" w:hAnsiTheme="minorHAnsi" w:cstheme="minorHAnsi"/>
        </w:rPr>
        <w:t xml:space="preserve">McLean </w:t>
      </w:r>
      <w:r w:rsidR="00C64DB9" w:rsidRPr="006450FB">
        <w:rPr>
          <w:rFonts w:asciiTheme="minorHAnsi" w:hAnsiTheme="minorHAnsi" w:cstheme="minorHAnsi"/>
        </w:rPr>
        <w:t xml:space="preserve">KC </w:t>
      </w:r>
      <w:r w:rsidR="00ED06B3" w:rsidRPr="006450FB">
        <w:rPr>
          <w:rFonts w:asciiTheme="minorHAnsi" w:hAnsiTheme="minorHAnsi" w:cstheme="minorHAnsi"/>
        </w:rPr>
        <w:t xml:space="preserve">in their text </w:t>
      </w:r>
      <w:r w:rsidR="00ED06B3" w:rsidRPr="006450FB">
        <w:rPr>
          <w:rFonts w:asciiTheme="minorHAnsi" w:hAnsiTheme="minorHAnsi" w:cstheme="minorHAnsi"/>
          <w:i/>
          <w:iCs/>
        </w:rPr>
        <w:t>This Realm of New Zealand</w:t>
      </w:r>
      <w:r w:rsidR="00F03A49" w:rsidRPr="006450FB">
        <w:rPr>
          <w:rFonts w:asciiTheme="minorHAnsi" w:hAnsiTheme="minorHAnsi" w:cstheme="minorHAnsi"/>
        </w:rPr>
        <w:t xml:space="preserve">, </w:t>
      </w:r>
      <w:r w:rsidR="00E04481" w:rsidRPr="006450FB">
        <w:rPr>
          <w:rFonts w:asciiTheme="minorHAnsi" w:hAnsiTheme="minorHAnsi" w:cstheme="minorHAnsi"/>
        </w:rPr>
        <w:t>the answer to who is the Crown</w:t>
      </w:r>
      <w:r w:rsidR="00F03A49" w:rsidRPr="006450FB">
        <w:rPr>
          <w:rFonts w:asciiTheme="minorHAnsi" w:hAnsiTheme="minorHAnsi" w:cstheme="minorHAnsi"/>
        </w:rPr>
        <w:t xml:space="preserve"> is context sensitive</w:t>
      </w:r>
      <w:r w:rsidR="00BE4F8D" w:rsidRPr="006450FB">
        <w:rPr>
          <w:rFonts w:asciiTheme="minorHAnsi" w:hAnsiTheme="minorHAnsi" w:cstheme="minorHAnsi"/>
        </w:rPr>
        <w:t xml:space="preserve"> because the role of the Crown continues to change</w:t>
      </w:r>
      <w:r w:rsidR="00ED06B3" w:rsidRPr="006450FB">
        <w:rPr>
          <w:rFonts w:asciiTheme="minorHAnsi" w:hAnsiTheme="minorHAnsi" w:cstheme="minorHAnsi"/>
        </w:rPr>
        <w:t>:</w:t>
      </w:r>
      <w:r w:rsidR="009E2F73" w:rsidRPr="006450FB">
        <w:rPr>
          <w:rStyle w:val="FootnoteReference"/>
          <w:rFonts w:asciiTheme="minorHAnsi" w:hAnsiTheme="minorHAnsi" w:cstheme="minorHAnsi"/>
          <w:sz w:val="24"/>
          <w:szCs w:val="24"/>
        </w:rPr>
        <w:footnoteReference w:id="60"/>
      </w:r>
    </w:p>
    <w:p w14:paraId="6695F762" w14:textId="77777777" w:rsidR="00ED7DEC" w:rsidRPr="006450FB" w:rsidRDefault="00ED7DEC" w:rsidP="00ED7DEC">
      <w:pPr>
        <w:pStyle w:val="TextindentedLR"/>
        <w:rPr>
          <w:rFonts w:asciiTheme="minorHAnsi" w:hAnsiTheme="minorHAnsi" w:cstheme="minorHAnsi"/>
        </w:rPr>
      </w:pPr>
    </w:p>
    <w:p w14:paraId="006C97ED" w14:textId="4C5F9FDD" w:rsidR="00450FB1" w:rsidRPr="006450FB" w:rsidRDefault="00ED06B3" w:rsidP="00ED7DEC">
      <w:pPr>
        <w:pStyle w:val="QuoteLR"/>
        <w:rPr>
          <w:rFonts w:asciiTheme="minorHAnsi" w:hAnsiTheme="minorHAnsi" w:cstheme="minorHAnsi"/>
        </w:rPr>
      </w:pPr>
      <w:r w:rsidRPr="006450FB">
        <w:rPr>
          <w:rFonts w:asciiTheme="minorHAnsi" w:hAnsiTheme="minorHAnsi" w:cstheme="minorHAnsi"/>
        </w:rPr>
        <w:t>[D]efining the Crown with any precision is difficult because, as a corporation, its exact nature remains “somewhat obscure”. The work “the Crown” must do and the machinery with which it does it have both changed radically from medieval times of absolute personal rule to today’s constitutional monarchy and its framework of parliamentary and bureaucratic government. This transformation, the authors suggest, has made the concept of the Crown itself somewhat elastic. As a result, the case law on the subject is confusing, and statutory usage inconsistent. “The Crown” is defined differently depending on the particular function and the area of law.</w:t>
      </w:r>
    </w:p>
    <w:p w14:paraId="2FB71FE8" w14:textId="77777777" w:rsidR="00ED7DEC" w:rsidRPr="006450FB" w:rsidRDefault="00ED7DEC" w:rsidP="00ED7DEC">
      <w:pPr>
        <w:pStyle w:val="QuoteLR"/>
        <w:ind w:left="0"/>
        <w:rPr>
          <w:rFonts w:asciiTheme="minorHAnsi" w:hAnsiTheme="minorHAnsi" w:cstheme="minorHAnsi"/>
        </w:rPr>
      </w:pPr>
    </w:p>
    <w:p w14:paraId="6B3EC265" w14:textId="0B84AEFD" w:rsidR="00450FB1" w:rsidRPr="006450FB" w:rsidRDefault="00F91B96" w:rsidP="00ED7DEC">
      <w:pPr>
        <w:pStyle w:val="TextnoindentLR"/>
        <w:rPr>
          <w:rFonts w:asciiTheme="minorHAnsi" w:hAnsiTheme="minorHAnsi" w:cstheme="minorHAnsi"/>
        </w:rPr>
      </w:pPr>
      <w:r w:rsidRPr="006450FB">
        <w:rPr>
          <w:rFonts w:asciiTheme="minorHAnsi" w:hAnsiTheme="minorHAnsi" w:cstheme="minorHAnsi"/>
        </w:rPr>
        <w:t xml:space="preserve">Fully exploring the </w:t>
      </w:r>
      <w:r w:rsidR="00A77746" w:rsidRPr="006450FB">
        <w:rPr>
          <w:rFonts w:asciiTheme="minorHAnsi" w:hAnsiTheme="minorHAnsi" w:cstheme="minorHAnsi"/>
        </w:rPr>
        <w:t>literature over</w:t>
      </w:r>
      <w:r w:rsidRPr="006450FB">
        <w:rPr>
          <w:rFonts w:asciiTheme="minorHAnsi" w:hAnsiTheme="minorHAnsi" w:cstheme="minorHAnsi"/>
        </w:rPr>
        <w:t xml:space="preserve"> who is, or is not, the Crown is beyond the scope of this </w:t>
      </w:r>
      <w:r w:rsidR="00F5761B" w:rsidRPr="006450FB">
        <w:rPr>
          <w:rFonts w:asciiTheme="minorHAnsi" w:hAnsiTheme="minorHAnsi" w:cstheme="minorHAnsi"/>
        </w:rPr>
        <w:t>artic</w:t>
      </w:r>
      <w:r w:rsidRPr="006450FB">
        <w:rPr>
          <w:rFonts w:asciiTheme="minorHAnsi" w:hAnsiTheme="minorHAnsi" w:cstheme="minorHAnsi"/>
        </w:rPr>
        <w:t>le</w:t>
      </w:r>
      <w:r w:rsidR="00933C65" w:rsidRPr="006450FB">
        <w:rPr>
          <w:rFonts w:asciiTheme="minorHAnsi" w:hAnsiTheme="minorHAnsi" w:cstheme="minorHAnsi"/>
        </w:rPr>
        <w:t xml:space="preserve">, and the Court of Appeal in </w:t>
      </w:r>
      <w:r w:rsidR="00933C65" w:rsidRPr="006450FB">
        <w:rPr>
          <w:rFonts w:asciiTheme="minorHAnsi" w:hAnsiTheme="minorHAnsi" w:cstheme="minorHAnsi"/>
          <w:i/>
          <w:iCs/>
        </w:rPr>
        <w:t>Stafford</w:t>
      </w:r>
      <w:r w:rsidR="00933C65" w:rsidRPr="006450FB">
        <w:rPr>
          <w:rFonts w:asciiTheme="minorHAnsi" w:hAnsiTheme="minorHAnsi" w:cstheme="minorHAnsi"/>
        </w:rPr>
        <w:t xml:space="preserve"> was divided on the</w:t>
      </w:r>
      <w:r w:rsidR="00401432" w:rsidRPr="006450FB">
        <w:rPr>
          <w:rFonts w:asciiTheme="minorHAnsi" w:hAnsiTheme="minorHAnsi" w:cstheme="minorHAnsi"/>
        </w:rPr>
        <w:t xml:space="preserve"> whether it was arguable the Accident Compensation </w:t>
      </w:r>
      <w:r w:rsidR="00B96483" w:rsidRPr="006450FB">
        <w:rPr>
          <w:rFonts w:asciiTheme="minorHAnsi" w:hAnsiTheme="minorHAnsi" w:cstheme="minorHAnsi"/>
        </w:rPr>
        <w:t xml:space="preserve">Corporation </w:t>
      </w:r>
      <w:r w:rsidR="005461B2" w:rsidRPr="006450FB">
        <w:rPr>
          <w:rFonts w:asciiTheme="minorHAnsi" w:hAnsiTheme="minorHAnsi" w:cstheme="minorHAnsi"/>
        </w:rPr>
        <w:t>was the Crown for the purposes of that case</w:t>
      </w:r>
      <w:r w:rsidRPr="006450FB">
        <w:rPr>
          <w:rFonts w:asciiTheme="minorHAnsi" w:hAnsiTheme="minorHAnsi" w:cstheme="minorHAnsi"/>
        </w:rPr>
        <w:t xml:space="preserve">. But it is sufficient to note that </w:t>
      </w:r>
      <w:r w:rsidR="00401432" w:rsidRPr="006450FB">
        <w:rPr>
          <w:rFonts w:asciiTheme="minorHAnsi" w:hAnsiTheme="minorHAnsi" w:cstheme="minorHAnsi"/>
        </w:rPr>
        <w:t>Williams J and Courtney J</w:t>
      </w:r>
      <w:r w:rsidR="008E1EF9" w:rsidRPr="006450FB">
        <w:rPr>
          <w:rFonts w:asciiTheme="minorHAnsi" w:hAnsiTheme="minorHAnsi" w:cstheme="minorHAnsi"/>
        </w:rPr>
        <w:t xml:space="preserve"> </w:t>
      </w:r>
      <w:r w:rsidR="00401432" w:rsidRPr="006450FB">
        <w:rPr>
          <w:rFonts w:asciiTheme="minorHAnsi" w:hAnsiTheme="minorHAnsi" w:cstheme="minorHAnsi"/>
        </w:rPr>
        <w:t>agreed</w:t>
      </w:r>
      <w:r w:rsidRPr="006450FB">
        <w:rPr>
          <w:rFonts w:asciiTheme="minorHAnsi" w:hAnsiTheme="minorHAnsi" w:cstheme="minorHAnsi"/>
        </w:rPr>
        <w:t xml:space="preserve"> that </w:t>
      </w:r>
      <w:r w:rsidR="002A5823" w:rsidRPr="006450FB">
        <w:rPr>
          <w:rFonts w:asciiTheme="minorHAnsi" w:hAnsiTheme="minorHAnsi" w:cstheme="minorHAnsi"/>
        </w:rPr>
        <w:t xml:space="preserve">in the absence of an express statutory statement, the </w:t>
      </w:r>
      <w:r w:rsidR="00CE2EBF" w:rsidRPr="006450FB">
        <w:rPr>
          <w:rFonts w:asciiTheme="minorHAnsi" w:hAnsiTheme="minorHAnsi" w:cstheme="minorHAnsi"/>
        </w:rPr>
        <w:t xml:space="preserve">question will be determined </w:t>
      </w:r>
      <w:r w:rsidR="00F02EA3" w:rsidRPr="006450FB">
        <w:rPr>
          <w:rFonts w:asciiTheme="minorHAnsi" w:hAnsiTheme="minorHAnsi" w:cstheme="minorHAnsi"/>
        </w:rPr>
        <w:t>by a common law control test</w:t>
      </w:r>
      <w:r w:rsidR="00704D33" w:rsidRPr="006450FB">
        <w:rPr>
          <w:rFonts w:asciiTheme="minorHAnsi" w:hAnsiTheme="minorHAnsi" w:cstheme="minorHAnsi"/>
        </w:rPr>
        <w:t>: whether the legislation establishing the relevant entity provides for effective control of the entity by the Government of the day.</w:t>
      </w:r>
      <w:r w:rsidR="00704D33" w:rsidRPr="006450FB">
        <w:rPr>
          <w:rStyle w:val="FootnoteReference"/>
          <w:rFonts w:asciiTheme="minorHAnsi" w:hAnsiTheme="minorHAnsi" w:cstheme="minorHAnsi"/>
          <w:sz w:val="24"/>
          <w:szCs w:val="32"/>
        </w:rPr>
        <w:footnoteReference w:id="61"/>
      </w:r>
      <w:r w:rsidR="00292059" w:rsidRPr="006450FB">
        <w:rPr>
          <w:rFonts w:asciiTheme="minorHAnsi" w:hAnsiTheme="minorHAnsi" w:cstheme="minorHAnsi"/>
        </w:rPr>
        <w:t xml:space="preserve"> </w:t>
      </w:r>
      <w:r w:rsidR="005F6B37" w:rsidRPr="006450FB">
        <w:rPr>
          <w:rFonts w:asciiTheme="minorHAnsi" w:hAnsiTheme="minorHAnsi" w:cstheme="minorHAnsi"/>
        </w:rPr>
        <w:t xml:space="preserve">Relevant to </w:t>
      </w:r>
      <w:r w:rsidR="00CF1B4B" w:rsidRPr="006450FB">
        <w:rPr>
          <w:rFonts w:asciiTheme="minorHAnsi" w:hAnsiTheme="minorHAnsi" w:cstheme="minorHAnsi"/>
        </w:rPr>
        <w:t>analysis of</w:t>
      </w:r>
      <w:r w:rsidR="005F6B37" w:rsidRPr="006450FB">
        <w:rPr>
          <w:rFonts w:asciiTheme="minorHAnsi" w:hAnsiTheme="minorHAnsi" w:cstheme="minorHAnsi"/>
        </w:rPr>
        <w:t xml:space="preserve"> </w:t>
      </w:r>
      <w:r w:rsidR="004D316C" w:rsidRPr="006450FB">
        <w:rPr>
          <w:rFonts w:asciiTheme="minorHAnsi" w:hAnsiTheme="minorHAnsi" w:cstheme="minorHAnsi"/>
        </w:rPr>
        <w:t>s</w:t>
      </w:r>
      <w:r w:rsidR="005F6B37" w:rsidRPr="006450FB">
        <w:rPr>
          <w:rFonts w:asciiTheme="minorHAnsi" w:hAnsiTheme="minorHAnsi" w:cstheme="minorHAnsi"/>
        </w:rPr>
        <w:t>s</w:t>
      </w:r>
      <w:r w:rsidR="004D316C" w:rsidRPr="006450FB">
        <w:rPr>
          <w:rFonts w:asciiTheme="minorHAnsi" w:hAnsiTheme="minorHAnsi" w:cstheme="minorHAnsi"/>
        </w:rPr>
        <w:t xml:space="preserve"> </w:t>
      </w:r>
      <w:r w:rsidR="005F6B37" w:rsidRPr="006450FB">
        <w:rPr>
          <w:rFonts w:asciiTheme="minorHAnsi" w:hAnsiTheme="minorHAnsi" w:cstheme="minorHAnsi"/>
        </w:rPr>
        <w:lastRenderedPageBreak/>
        <w:t>5</w:t>
      </w:r>
      <w:r w:rsidR="004D316C" w:rsidRPr="006450FB">
        <w:rPr>
          <w:rFonts w:asciiTheme="minorHAnsi" w:hAnsiTheme="minorHAnsi" w:cstheme="minorHAnsi"/>
        </w:rPr>
        <w:t xml:space="preserve"> and 6</w:t>
      </w:r>
      <w:r w:rsidR="005F6B37" w:rsidRPr="006450FB">
        <w:rPr>
          <w:rFonts w:asciiTheme="minorHAnsi" w:hAnsiTheme="minorHAnsi" w:cstheme="minorHAnsi"/>
        </w:rPr>
        <w:t xml:space="preserve"> of the Commerce Act, </w:t>
      </w:r>
      <w:r w:rsidR="005B298C" w:rsidRPr="006450FB">
        <w:rPr>
          <w:rFonts w:asciiTheme="minorHAnsi" w:hAnsiTheme="minorHAnsi" w:cstheme="minorHAnsi"/>
        </w:rPr>
        <w:t>Courtney J</w:t>
      </w:r>
      <w:r w:rsidR="00C54E35" w:rsidRPr="006450FB">
        <w:rPr>
          <w:rFonts w:asciiTheme="minorHAnsi" w:hAnsiTheme="minorHAnsi" w:cstheme="minorHAnsi"/>
        </w:rPr>
        <w:t xml:space="preserve"> </w:t>
      </w:r>
      <w:r w:rsidR="004D316C" w:rsidRPr="006450FB">
        <w:rPr>
          <w:rFonts w:asciiTheme="minorHAnsi" w:hAnsiTheme="minorHAnsi" w:cstheme="minorHAnsi"/>
        </w:rPr>
        <w:t xml:space="preserve">noted the </w:t>
      </w:r>
      <w:r w:rsidR="001F0BBF" w:rsidRPr="006450FB">
        <w:rPr>
          <w:rFonts w:asciiTheme="minorHAnsi" w:hAnsiTheme="minorHAnsi" w:cstheme="minorHAnsi"/>
        </w:rPr>
        <w:t>c</w:t>
      </w:r>
      <w:r w:rsidR="004D316C" w:rsidRPr="006450FB">
        <w:rPr>
          <w:rFonts w:asciiTheme="minorHAnsi" w:hAnsiTheme="minorHAnsi" w:cstheme="minorHAnsi"/>
        </w:rPr>
        <w:t>ourt</w:t>
      </w:r>
      <w:r w:rsidR="001F0BBF" w:rsidRPr="006450FB">
        <w:rPr>
          <w:rFonts w:asciiTheme="minorHAnsi" w:hAnsiTheme="minorHAnsi" w:cstheme="minorHAnsi"/>
        </w:rPr>
        <w:t>s</w:t>
      </w:r>
      <w:r w:rsidR="004D316C" w:rsidRPr="006450FB">
        <w:rPr>
          <w:rFonts w:asciiTheme="minorHAnsi" w:hAnsiTheme="minorHAnsi" w:cstheme="minorHAnsi"/>
        </w:rPr>
        <w:t xml:space="preserve"> tends to be cautious in concluding, for the purposes of a statutory immunity, that an entity is an instrument of the Crown.</w:t>
      </w:r>
      <w:r w:rsidR="005461B2" w:rsidRPr="006450FB">
        <w:rPr>
          <w:rStyle w:val="FootnoteReference"/>
          <w:rFonts w:asciiTheme="minorHAnsi" w:hAnsiTheme="minorHAnsi" w:cstheme="minorHAnsi"/>
          <w:sz w:val="24"/>
          <w:szCs w:val="32"/>
        </w:rPr>
        <w:footnoteReference w:id="62"/>
      </w:r>
    </w:p>
    <w:p w14:paraId="64C73C83" w14:textId="6B0615DA" w:rsidR="00450FB1" w:rsidRPr="006450FB" w:rsidRDefault="008239B6" w:rsidP="00ED7DEC">
      <w:pPr>
        <w:pStyle w:val="TextindentedLR"/>
        <w:rPr>
          <w:rFonts w:asciiTheme="minorHAnsi" w:hAnsiTheme="minorHAnsi" w:cstheme="minorHAnsi"/>
        </w:rPr>
      </w:pPr>
      <w:r w:rsidRPr="006450FB">
        <w:rPr>
          <w:rFonts w:asciiTheme="minorHAnsi" w:hAnsiTheme="minorHAnsi" w:cstheme="minorHAnsi"/>
        </w:rPr>
        <w:t>As noted above, t</w:t>
      </w:r>
      <w:r w:rsidR="00A65D77" w:rsidRPr="006450FB">
        <w:rPr>
          <w:rFonts w:asciiTheme="minorHAnsi" w:hAnsiTheme="minorHAnsi" w:cstheme="minorHAnsi"/>
        </w:rPr>
        <w:t xml:space="preserve">he purpose of </w:t>
      </w:r>
      <w:r w:rsidR="008774CA" w:rsidRPr="006450FB">
        <w:rPr>
          <w:rFonts w:asciiTheme="minorHAnsi" w:hAnsiTheme="minorHAnsi" w:cstheme="minorHAnsi"/>
        </w:rPr>
        <w:t xml:space="preserve">the 1979 amendments to the Commerce Act 1975 </w:t>
      </w:r>
      <w:r w:rsidR="00A65D77" w:rsidRPr="006450FB">
        <w:rPr>
          <w:rFonts w:asciiTheme="minorHAnsi" w:hAnsiTheme="minorHAnsi" w:cstheme="minorHAnsi"/>
        </w:rPr>
        <w:t xml:space="preserve">was to ensure that “government corporations and departments that trade” within the scope of the </w:t>
      </w:r>
      <w:r w:rsidR="00317CE7" w:rsidRPr="006450FB">
        <w:rPr>
          <w:rFonts w:asciiTheme="minorHAnsi" w:hAnsiTheme="minorHAnsi" w:cstheme="minorHAnsi"/>
        </w:rPr>
        <w:t xml:space="preserve">Commerce </w:t>
      </w:r>
      <w:r w:rsidR="00A65D77" w:rsidRPr="006450FB">
        <w:rPr>
          <w:rFonts w:asciiTheme="minorHAnsi" w:hAnsiTheme="minorHAnsi" w:cstheme="minorHAnsi"/>
        </w:rPr>
        <w:t>Act came under the same legislation as other market participants.</w:t>
      </w:r>
      <w:r w:rsidR="00A65D77" w:rsidRPr="006450FB">
        <w:rPr>
          <w:rStyle w:val="FootnoteReference"/>
          <w:rFonts w:asciiTheme="minorHAnsi" w:hAnsiTheme="minorHAnsi" w:cstheme="minorHAnsi"/>
          <w:sz w:val="24"/>
          <w:szCs w:val="32"/>
        </w:rPr>
        <w:footnoteReference w:id="63"/>
      </w:r>
      <w:r w:rsidR="00A65D77" w:rsidRPr="006450FB">
        <w:rPr>
          <w:rFonts w:asciiTheme="minorHAnsi" w:hAnsiTheme="minorHAnsi" w:cstheme="minorHAnsi"/>
        </w:rPr>
        <w:t xml:space="preserve"> </w:t>
      </w:r>
      <w:r w:rsidR="006307C9" w:rsidRPr="006450FB">
        <w:rPr>
          <w:rFonts w:asciiTheme="minorHAnsi" w:hAnsiTheme="minorHAnsi" w:cstheme="minorHAnsi"/>
        </w:rPr>
        <w:t xml:space="preserve">Since that time there has been </w:t>
      </w:r>
      <w:r w:rsidR="000703D2" w:rsidRPr="006450FB">
        <w:rPr>
          <w:rFonts w:asciiTheme="minorHAnsi" w:hAnsiTheme="minorHAnsi" w:cstheme="minorHAnsi"/>
        </w:rPr>
        <w:t xml:space="preserve">significant change in </w:t>
      </w:r>
      <w:r w:rsidR="007624E1" w:rsidRPr="006450FB">
        <w:rPr>
          <w:rFonts w:asciiTheme="minorHAnsi" w:hAnsiTheme="minorHAnsi" w:cstheme="minorHAnsi"/>
        </w:rPr>
        <w:t xml:space="preserve">both </w:t>
      </w:r>
      <w:r w:rsidR="000703D2" w:rsidRPr="006450FB">
        <w:rPr>
          <w:rFonts w:asciiTheme="minorHAnsi" w:hAnsiTheme="minorHAnsi" w:cstheme="minorHAnsi"/>
        </w:rPr>
        <w:t xml:space="preserve">the structure of </w:t>
      </w:r>
      <w:r w:rsidR="007624E1" w:rsidRPr="006450FB">
        <w:rPr>
          <w:rFonts w:asciiTheme="minorHAnsi" w:hAnsiTheme="minorHAnsi" w:cstheme="minorHAnsi"/>
        </w:rPr>
        <w:t>the public sector</w:t>
      </w:r>
      <w:r w:rsidR="000703D2" w:rsidRPr="006450FB">
        <w:rPr>
          <w:rFonts w:asciiTheme="minorHAnsi" w:hAnsiTheme="minorHAnsi" w:cstheme="minorHAnsi"/>
        </w:rPr>
        <w:t xml:space="preserve"> </w:t>
      </w:r>
      <w:r w:rsidR="00AD0819" w:rsidRPr="006450FB">
        <w:rPr>
          <w:rFonts w:asciiTheme="minorHAnsi" w:hAnsiTheme="minorHAnsi" w:cstheme="minorHAnsi"/>
        </w:rPr>
        <w:t xml:space="preserve">and how </w:t>
      </w:r>
      <w:r w:rsidR="007624E1" w:rsidRPr="006450FB">
        <w:rPr>
          <w:rFonts w:asciiTheme="minorHAnsi" w:hAnsiTheme="minorHAnsi" w:cstheme="minorHAnsi"/>
        </w:rPr>
        <w:t>it relates to the private</w:t>
      </w:r>
      <w:r w:rsidR="000703D2" w:rsidRPr="006450FB">
        <w:rPr>
          <w:rFonts w:asciiTheme="minorHAnsi" w:hAnsiTheme="minorHAnsi" w:cstheme="minorHAnsi"/>
        </w:rPr>
        <w:t xml:space="preserve"> </w:t>
      </w:r>
      <w:r w:rsidR="007624E1" w:rsidRPr="006450FB">
        <w:rPr>
          <w:rFonts w:asciiTheme="minorHAnsi" w:hAnsiTheme="minorHAnsi" w:cstheme="minorHAnsi"/>
        </w:rPr>
        <w:t xml:space="preserve">sector. </w:t>
      </w:r>
      <w:r w:rsidR="009A0167" w:rsidRPr="006450FB">
        <w:rPr>
          <w:rFonts w:asciiTheme="minorHAnsi" w:hAnsiTheme="minorHAnsi" w:cstheme="minorHAnsi"/>
        </w:rPr>
        <w:t>There has also been a blurring of the distinction between them.</w:t>
      </w:r>
    </w:p>
    <w:p w14:paraId="44CC0E49" w14:textId="7C39E13F" w:rsidR="00450FB1" w:rsidRPr="006450FB" w:rsidRDefault="00AD0819" w:rsidP="00ED7DEC">
      <w:pPr>
        <w:pStyle w:val="TextindentedLR"/>
        <w:rPr>
          <w:rFonts w:asciiTheme="minorHAnsi" w:hAnsiTheme="minorHAnsi" w:cstheme="minorHAnsi"/>
        </w:rPr>
      </w:pPr>
      <w:r w:rsidRPr="006450FB">
        <w:rPr>
          <w:rFonts w:asciiTheme="minorHAnsi" w:hAnsiTheme="minorHAnsi" w:cstheme="minorHAnsi"/>
          <w:szCs w:val="24"/>
        </w:rPr>
        <w:t>I</w:t>
      </w:r>
      <w:r w:rsidR="000843AF" w:rsidRPr="006450FB">
        <w:rPr>
          <w:rFonts w:asciiTheme="minorHAnsi" w:hAnsiTheme="minorHAnsi" w:cstheme="minorHAnsi"/>
          <w:szCs w:val="24"/>
        </w:rPr>
        <w:t xml:space="preserve">t is an understatement to say that New Zealand </w:t>
      </w:r>
      <w:r w:rsidR="000843AF" w:rsidRPr="006450FB">
        <w:rPr>
          <w:rFonts w:asciiTheme="minorHAnsi" w:hAnsiTheme="minorHAnsi" w:cstheme="minorHAnsi"/>
        </w:rPr>
        <w:t>has seen substantial public sector reform since ss 5 and 6 and its predecessors were enacted</w:t>
      </w:r>
      <w:r w:rsidR="000843AF" w:rsidRPr="006450FB">
        <w:rPr>
          <w:rFonts w:asciiTheme="minorHAnsi" w:hAnsiTheme="minorHAnsi" w:cstheme="minorHAnsi"/>
          <w:szCs w:val="24"/>
        </w:rPr>
        <w:t>.</w:t>
      </w:r>
      <w:r w:rsidR="001112A6" w:rsidRPr="006450FB">
        <w:rPr>
          <w:rFonts w:asciiTheme="minorHAnsi" w:hAnsiTheme="minorHAnsi" w:cstheme="minorHAnsi"/>
          <w:szCs w:val="24"/>
        </w:rPr>
        <w:t xml:space="preserve"> </w:t>
      </w:r>
      <w:r w:rsidR="00204E80" w:rsidRPr="006450FB">
        <w:rPr>
          <w:rFonts w:asciiTheme="minorHAnsi" w:hAnsiTheme="minorHAnsi" w:cstheme="minorHAnsi"/>
          <w:szCs w:val="24"/>
        </w:rPr>
        <w:t>Significant legislative changes</w:t>
      </w:r>
      <w:r w:rsidR="008239B6" w:rsidRPr="006450FB">
        <w:rPr>
          <w:rFonts w:asciiTheme="minorHAnsi" w:hAnsiTheme="minorHAnsi" w:cstheme="minorHAnsi"/>
          <w:szCs w:val="24"/>
        </w:rPr>
        <w:t xml:space="preserve"> since then</w:t>
      </w:r>
      <w:r w:rsidR="00204E80" w:rsidRPr="006450FB">
        <w:rPr>
          <w:rFonts w:asciiTheme="minorHAnsi" w:hAnsiTheme="minorHAnsi" w:cstheme="minorHAnsi"/>
          <w:szCs w:val="24"/>
        </w:rPr>
        <w:t xml:space="preserve"> </w:t>
      </w:r>
      <w:r w:rsidR="00204E80" w:rsidRPr="006450FB">
        <w:rPr>
          <w:rFonts w:asciiTheme="minorHAnsi" w:hAnsiTheme="minorHAnsi" w:cstheme="minorHAnsi"/>
        </w:rPr>
        <w:t>include t</w:t>
      </w:r>
      <w:r w:rsidR="00C518C1" w:rsidRPr="006450FB">
        <w:rPr>
          <w:rFonts w:asciiTheme="minorHAnsi" w:hAnsiTheme="minorHAnsi" w:cstheme="minorHAnsi"/>
        </w:rPr>
        <w:t>he</w:t>
      </w:r>
      <w:r w:rsidR="00204E80" w:rsidRPr="006450FB">
        <w:rPr>
          <w:rFonts w:asciiTheme="minorHAnsi" w:hAnsiTheme="minorHAnsi" w:cstheme="minorHAnsi"/>
        </w:rPr>
        <w:t xml:space="preserve"> introduction of the</w:t>
      </w:r>
      <w:r w:rsidR="00C518C1" w:rsidRPr="006450FB">
        <w:rPr>
          <w:rFonts w:asciiTheme="minorHAnsi" w:hAnsiTheme="minorHAnsi" w:cstheme="minorHAnsi"/>
        </w:rPr>
        <w:t xml:space="preserve"> State Owned Enterprises Act 1987, Public Finance Act 1989, Crown Entities Act 2004, </w:t>
      </w:r>
      <w:r w:rsidR="00226428" w:rsidRPr="006450FB">
        <w:rPr>
          <w:rFonts w:asciiTheme="minorHAnsi" w:hAnsiTheme="minorHAnsi" w:cstheme="minorHAnsi"/>
        </w:rPr>
        <w:t xml:space="preserve">and </w:t>
      </w:r>
      <w:r w:rsidR="00C518C1" w:rsidRPr="006450FB">
        <w:rPr>
          <w:rFonts w:asciiTheme="minorHAnsi" w:hAnsiTheme="minorHAnsi" w:cstheme="minorHAnsi"/>
        </w:rPr>
        <w:t>Public Service Act 2020</w:t>
      </w:r>
      <w:r w:rsidR="00226428" w:rsidRPr="006450FB">
        <w:rPr>
          <w:rFonts w:asciiTheme="minorHAnsi" w:hAnsiTheme="minorHAnsi" w:cstheme="minorHAnsi"/>
        </w:rPr>
        <w:t xml:space="preserve">. </w:t>
      </w:r>
      <w:r w:rsidR="0010054C" w:rsidRPr="006450FB">
        <w:rPr>
          <w:rFonts w:asciiTheme="minorHAnsi" w:hAnsiTheme="minorHAnsi" w:cstheme="minorHAnsi"/>
        </w:rPr>
        <w:t xml:space="preserve">These have created </w:t>
      </w:r>
      <w:r w:rsidR="00312AC6" w:rsidRPr="006450FB">
        <w:rPr>
          <w:rFonts w:asciiTheme="minorHAnsi" w:hAnsiTheme="minorHAnsi" w:cstheme="minorHAnsi"/>
        </w:rPr>
        <w:t>many</w:t>
      </w:r>
      <w:r w:rsidR="0010054C" w:rsidRPr="006450FB">
        <w:rPr>
          <w:rFonts w:asciiTheme="minorHAnsi" w:hAnsiTheme="minorHAnsi" w:cstheme="minorHAnsi"/>
        </w:rPr>
        <w:t xml:space="preserve"> different types of organisation</w:t>
      </w:r>
      <w:r w:rsidR="00CF2872" w:rsidRPr="006450FB">
        <w:rPr>
          <w:rFonts w:asciiTheme="minorHAnsi" w:hAnsiTheme="minorHAnsi" w:cstheme="minorHAnsi"/>
        </w:rPr>
        <w:t>,</w:t>
      </w:r>
      <w:r w:rsidR="0010054C" w:rsidRPr="006450FB">
        <w:rPr>
          <w:rFonts w:asciiTheme="minorHAnsi" w:hAnsiTheme="minorHAnsi" w:cstheme="minorHAnsi"/>
        </w:rPr>
        <w:t xml:space="preserve"> with differing levels of indepe</w:t>
      </w:r>
      <w:r w:rsidR="00897147" w:rsidRPr="006450FB">
        <w:rPr>
          <w:rFonts w:asciiTheme="minorHAnsi" w:hAnsiTheme="minorHAnsi" w:cstheme="minorHAnsi"/>
        </w:rPr>
        <w:t xml:space="preserve">ndence from the </w:t>
      </w:r>
      <w:r w:rsidR="00D136D2" w:rsidRPr="006450FB">
        <w:rPr>
          <w:rFonts w:asciiTheme="minorHAnsi" w:hAnsiTheme="minorHAnsi" w:cstheme="minorHAnsi"/>
        </w:rPr>
        <w:t>g</w:t>
      </w:r>
      <w:r w:rsidR="00897147" w:rsidRPr="006450FB">
        <w:rPr>
          <w:rFonts w:asciiTheme="minorHAnsi" w:hAnsiTheme="minorHAnsi" w:cstheme="minorHAnsi"/>
        </w:rPr>
        <w:t>overnment of the day,</w:t>
      </w:r>
      <w:r w:rsidR="006866F6" w:rsidRPr="006450FB">
        <w:rPr>
          <w:rFonts w:asciiTheme="minorHAnsi" w:hAnsiTheme="minorHAnsi" w:cstheme="minorHAnsi"/>
        </w:rPr>
        <w:t xml:space="preserve"> differ</w:t>
      </w:r>
      <w:r w:rsidR="00A228B6" w:rsidRPr="006450FB">
        <w:rPr>
          <w:rFonts w:asciiTheme="minorHAnsi" w:hAnsiTheme="minorHAnsi" w:cstheme="minorHAnsi"/>
        </w:rPr>
        <w:t>ing mechanisms of control,</w:t>
      </w:r>
      <w:r w:rsidR="00897147" w:rsidRPr="006450FB">
        <w:rPr>
          <w:rFonts w:asciiTheme="minorHAnsi" w:hAnsiTheme="minorHAnsi" w:cstheme="minorHAnsi"/>
        </w:rPr>
        <w:t xml:space="preserve"> differing funding arrangements, </w:t>
      </w:r>
      <w:r w:rsidR="006866F6" w:rsidRPr="006450FB">
        <w:rPr>
          <w:rFonts w:asciiTheme="minorHAnsi" w:hAnsiTheme="minorHAnsi" w:cstheme="minorHAnsi"/>
        </w:rPr>
        <w:t>and different objectives.</w:t>
      </w:r>
    </w:p>
    <w:p w14:paraId="063F89F1" w14:textId="670B2273" w:rsidR="00147325" w:rsidRPr="006450FB" w:rsidRDefault="006370A8" w:rsidP="00ED7DEC">
      <w:pPr>
        <w:pStyle w:val="TextindentedLR"/>
        <w:rPr>
          <w:rFonts w:asciiTheme="minorHAnsi" w:hAnsiTheme="minorHAnsi" w:cstheme="minorHAnsi"/>
          <w:szCs w:val="24"/>
        </w:rPr>
      </w:pPr>
      <w:r w:rsidRPr="006450FB">
        <w:rPr>
          <w:rFonts w:asciiTheme="minorHAnsi" w:hAnsiTheme="minorHAnsi" w:cstheme="minorHAnsi"/>
        </w:rPr>
        <w:t>Under this legislati</w:t>
      </w:r>
      <w:r w:rsidR="00480F79" w:rsidRPr="006450FB">
        <w:rPr>
          <w:rFonts w:asciiTheme="minorHAnsi" w:hAnsiTheme="minorHAnsi" w:cstheme="minorHAnsi"/>
        </w:rPr>
        <w:t>ve framework, t</w:t>
      </w:r>
      <w:r w:rsidR="00461E91" w:rsidRPr="006450FB">
        <w:rPr>
          <w:rFonts w:asciiTheme="minorHAnsi" w:hAnsiTheme="minorHAnsi" w:cstheme="minorHAnsi"/>
          <w:szCs w:val="24"/>
        </w:rPr>
        <w:t xml:space="preserve">he Public Service Commission identifies 17 different types of </w:t>
      </w:r>
      <w:r w:rsidR="00450FB1" w:rsidRPr="006450FB">
        <w:rPr>
          <w:rFonts w:asciiTheme="minorHAnsi" w:hAnsiTheme="minorHAnsi" w:cstheme="minorHAnsi"/>
          <w:szCs w:val="24"/>
        </w:rPr>
        <w:t>“</w:t>
      </w:r>
      <w:r w:rsidR="00461E91" w:rsidRPr="006450FB">
        <w:rPr>
          <w:rFonts w:asciiTheme="minorHAnsi" w:hAnsiTheme="minorHAnsi" w:cstheme="minorHAnsi"/>
          <w:szCs w:val="24"/>
        </w:rPr>
        <w:t>central government organisations</w:t>
      </w:r>
      <w:r w:rsidR="00450FB1" w:rsidRPr="006450FB">
        <w:rPr>
          <w:rFonts w:asciiTheme="minorHAnsi" w:hAnsiTheme="minorHAnsi" w:cstheme="minorHAnsi"/>
          <w:szCs w:val="24"/>
        </w:rPr>
        <w:t>”</w:t>
      </w:r>
      <w:r w:rsidR="00CC60E9" w:rsidRPr="006450FB">
        <w:rPr>
          <w:rFonts w:asciiTheme="minorHAnsi" w:hAnsiTheme="minorHAnsi" w:cstheme="minorHAnsi"/>
          <w:szCs w:val="24"/>
        </w:rPr>
        <w:t xml:space="preserve">. </w:t>
      </w:r>
      <w:r w:rsidR="00EC5A5E" w:rsidRPr="006450FB">
        <w:rPr>
          <w:rFonts w:asciiTheme="minorHAnsi" w:hAnsiTheme="minorHAnsi" w:cstheme="minorHAnsi"/>
          <w:szCs w:val="24"/>
        </w:rPr>
        <w:t>The organisation</w:t>
      </w:r>
      <w:r w:rsidR="00450FB1" w:rsidRPr="006450FB">
        <w:rPr>
          <w:rFonts w:asciiTheme="minorHAnsi" w:hAnsiTheme="minorHAnsi" w:cstheme="minorHAnsi"/>
          <w:szCs w:val="24"/>
        </w:rPr>
        <w:t>s</w:t>
      </w:r>
      <w:r w:rsidR="00EC5A5E" w:rsidRPr="006450FB">
        <w:rPr>
          <w:rFonts w:asciiTheme="minorHAnsi" w:hAnsiTheme="minorHAnsi" w:cstheme="minorHAnsi"/>
          <w:szCs w:val="24"/>
        </w:rPr>
        <w:t xml:space="preserve"> include</w:t>
      </w:r>
      <w:r w:rsidR="00461E91" w:rsidRPr="006450FB">
        <w:rPr>
          <w:rFonts w:asciiTheme="minorHAnsi" w:hAnsiTheme="minorHAnsi" w:cstheme="minorHAnsi"/>
          <w:szCs w:val="24"/>
        </w:rPr>
        <w:t>:</w:t>
      </w:r>
      <w:r w:rsidR="00100BEE" w:rsidRPr="006450FB">
        <w:rPr>
          <w:rStyle w:val="FootnoteReference"/>
          <w:rFonts w:asciiTheme="minorHAnsi" w:hAnsiTheme="minorHAnsi" w:cstheme="minorHAnsi"/>
          <w:sz w:val="24"/>
          <w:szCs w:val="24"/>
        </w:rPr>
        <w:footnoteReference w:id="64"/>
      </w:r>
    </w:p>
    <w:p w14:paraId="3FDCAF86" w14:textId="77777777" w:rsidR="00ED7DEC" w:rsidRPr="006450FB" w:rsidRDefault="00ED7DEC" w:rsidP="00ED7DEC">
      <w:pPr>
        <w:pStyle w:val="TextindentedLR"/>
        <w:ind w:firstLine="0"/>
        <w:rPr>
          <w:rFonts w:asciiTheme="minorHAnsi" w:hAnsiTheme="minorHAnsi" w:cstheme="minorHAnsi"/>
          <w:szCs w:val="24"/>
        </w:rPr>
      </w:pPr>
    </w:p>
    <w:p w14:paraId="0DBED014" w14:textId="6DF8C4AD" w:rsidR="00461E91" w:rsidRPr="006450FB" w:rsidRDefault="00461E91" w:rsidP="00ED7DEC">
      <w:pPr>
        <w:pStyle w:val="TextlistorbulletLR"/>
        <w:numPr>
          <w:ilvl w:val="0"/>
          <w:numId w:val="23"/>
        </w:numPr>
        <w:rPr>
          <w:rFonts w:asciiTheme="minorHAnsi" w:hAnsiTheme="minorHAnsi" w:cstheme="minorHAnsi"/>
        </w:rPr>
      </w:pPr>
      <w:r w:rsidRPr="006450FB">
        <w:rPr>
          <w:rFonts w:asciiTheme="minorHAnsi" w:hAnsiTheme="minorHAnsi" w:cstheme="minorHAnsi"/>
        </w:rPr>
        <w:t>Public Service departments, departmental agencies (</w:t>
      </w:r>
      <w:r w:rsidR="00D136D2" w:rsidRPr="006450FB">
        <w:rPr>
          <w:rFonts w:asciiTheme="minorHAnsi" w:hAnsiTheme="minorHAnsi" w:cstheme="minorHAnsi"/>
        </w:rPr>
        <w:t>for example</w:t>
      </w:r>
      <w:r w:rsidR="00193B51" w:rsidRPr="006450FB">
        <w:rPr>
          <w:rFonts w:asciiTheme="minorHAnsi" w:hAnsiTheme="minorHAnsi" w:cstheme="minorHAnsi"/>
        </w:rPr>
        <w:t>,</w:t>
      </w:r>
      <w:r w:rsidRPr="006450FB">
        <w:rPr>
          <w:rFonts w:asciiTheme="minorHAnsi" w:hAnsiTheme="minorHAnsi" w:cstheme="minorHAnsi"/>
        </w:rPr>
        <w:t xml:space="preserve"> National Emergency Management Agency or the Social Wellbeing Agency) and interdepartmental executive boards (</w:t>
      </w:r>
      <w:r w:rsidR="00D136D2" w:rsidRPr="006450FB">
        <w:rPr>
          <w:rFonts w:asciiTheme="minorHAnsi" w:hAnsiTheme="minorHAnsi" w:cstheme="minorHAnsi"/>
        </w:rPr>
        <w:t>for example</w:t>
      </w:r>
      <w:r w:rsidR="00437848" w:rsidRPr="006450FB">
        <w:rPr>
          <w:rFonts w:asciiTheme="minorHAnsi" w:hAnsiTheme="minorHAnsi" w:cstheme="minorHAnsi"/>
        </w:rPr>
        <w:t>,</w:t>
      </w:r>
      <w:r w:rsidRPr="006450FB">
        <w:rPr>
          <w:rFonts w:asciiTheme="minorHAnsi" w:hAnsiTheme="minorHAnsi" w:cstheme="minorHAnsi"/>
        </w:rPr>
        <w:t xml:space="preserve"> Climate Change Chief Executives Board)</w:t>
      </w:r>
    </w:p>
    <w:p w14:paraId="6C414FDA" w14:textId="7B9E058C" w:rsidR="00461E91" w:rsidRPr="006450FB" w:rsidRDefault="00461E91" w:rsidP="00ED7DEC">
      <w:pPr>
        <w:pStyle w:val="TextlistorbulletLR"/>
        <w:numPr>
          <w:ilvl w:val="0"/>
          <w:numId w:val="23"/>
        </w:numPr>
        <w:rPr>
          <w:rFonts w:asciiTheme="minorHAnsi" w:hAnsiTheme="minorHAnsi" w:cstheme="minorHAnsi"/>
        </w:rPr>
      </w:pPr>
      <w:r w:rsidRPr="006450FB">
        <w:rPr>
          <w:rFonts w:asciiTheme="minorHAnsi" w:hAnsiTheme="minorHAnsi" w:cstheme="minorHAnsi"/>
        </w:rPr>
        <w:t>Non-Public Service departments (</w:t>
      </w:r>
      <w:r w:rsidR="00D136D2" w:rsidRPr="006450FB">
        <w:rPr>
          <w:rFonts w:asciiTheme="minorHAnsi" w:hAnsiTheme="minorHAnsi" w:cstheme="minorHAnsi"/>
        </w:rPr>
        <w:t>for example</w:t>
      </w:r>
      <w:r w:rsidR="00193B51" w:rsidRPr="006450FB">
        <w:rPr>
          <w:rFonts w:asciiTheme="minorHAnsi" w:hAnsiTheme="minorHAnsi" w:cstheme="minorHAnsi"/>
        </w:rPr>
        <w:t>,</w:t>
      </w:r>
      <w:r w:rsidRPr="006450FB">
        <w:rPr>
          <w:rFonts w:asciiTheme="minorHAnsi" w:hAnsiTheme="minorHAnsi" w:cstheme="minorHAnsi"/>
        </w:rPr>
        <w:t xml:space="preserve"> NZ Defence Force, NZ Police)</w:t>
      </w:r>
    </w:p>
    <w:p w14:paraId="4400C171" w14:textId="7C67BFD6" w:rsidR="00461E91" w:rsidRPr="006450FB" w:rsidRDefault="00461E91" w:rsidP="00ED7DEC">
      <w:pPr>
        <w:pStyle w:val="TextlistorbulletLR"/>
        <w:numPr>
          <w:ilvl w:val="0"/>
          <w:numId w:val="23"/>
        </w:numPr>
        <w:rPr>
          <w:rFonts w:asciiTheme="minorHAnsi" w:hAnsiTheme="minorHAnsi" w:cstheme="minorHAnsi"/>
        </w:rPr>
      </w:pPr>
      <w:r w:rsidRPr="006450FB">
        <w:rPr>
          <w:rFonts w:asciiTheme="minorHAnsi" w:hAnsiTheme="minorHAnsi" w:cstheme="minorHAnsi"/>
        </w:rPr>
        <w:t xml:space="preserve">Crown entities, which including Crown </w:t>
      </w:r>
      <w:r w:rsidR="001F0BBF" w:rsidRPr="006450FB">
        <w:rPr>
          <w:rFonts w:asciiTheme="minorHAnsi" w:hAnsiTheme="minorHAnsi" w:cstheme="minorHAnsi"/>
        </w:rPr>
        <w:t>a</w:t>
      </w:r>
      <w:r w:rsidRPr="006450FB">
        <w:rPr>
          <w:rFonts w:asciiTheme="minorHAnsi" w:hAnsiTheme="minorHAnsi" w:cstheme="minorHAnsi"/>
        </w:rPr>
        <w:t>gents (</w:t>
      </w:r>
      <w:r w:rsidR="00D136D2" w:rsidRPr="006450FB">
        <w:rPr>
          <w:rFonts w:asciiTheme="minorHAnsi" w:hAnsiTheme="minorHAnsi" w:cstheme="minorHAnsi"/>
        </w:rPr>
        <w:t>for example</w:t>
      </w:r>
      <w:r w:rsidR="00193B51" w:rsidRPr="006450FB">
        <w:rPr>
          <w:rFonts w:asciiTheme="minorHAnsi" w:hAnsiTheme="minorHAnsi" w:cstheme="minorHAnsi"/>
        </w:rPr>
        <w:t>,</w:t>
      </w:r>
      <w:r w:rsidRPr="006450FB">
        <w:rPr>
          <w:rFonts w:asciiTheme="minorHAnsi" w:hAnsiTheme="minorHAnsi" w:cstheme="minorHAnsi"/>
        </w:rPr>
        <w:t xml:space="preserve"> ACC, Earthquake Commission, Te Whatu Ora / Health New Zealand), </w:t>
      </w:r>
      <w:r w:rsidR="001F0BBF" w:rsidRPr="006450FB">
        <w:rPr>
          <w:rFonts w:asciiTheme="minorHAnsi" w:hAnsiTheme="minorHAnsi" w:cstheme="minorHAnsi"/>
        </w:rPr>
        <w:t>a</w:t>
      </w:r>
      <w:r w:rsidRPr="006450FB">
        <w:rPr>
          <w:rFonts w:asciiTheme="minorHAnsi" w:hAnsiTheme="minorHAnsi" w:cstheme="minorHAnsi"/>
        </w:rPr>
        <w:t xml:space="preserve">utonomous Crown </w:t>
      </w:r>
      <w:r w:rsidR="001F0BBF" w:rsidRPr="006450FB">
        <w:rPr>
          <w:rFonts w:asciiTheme="minorHAnsi" w:hAnsiTheme="minorHAnsi" w:cstheme="minorHAnsi"/>
        </w:rPr>
        <w:t>e</w:t>
      </w:r>
      <w:r w:rsidRPr="006450FB">
        <w:rPr>
          <w:rFonts w:asciiTheme="minorHAnsi" w:hAnsiTheme="minorHAnsi" w:cstheme="minorHAnsi"/>
        </w:rPr>
        <w:t xml:space="preserve">ntities, </w:t>
      </w:r>
      <w:r w:rsidR="001F0BBF" w:rsidRPr="006450FB">
        <w:rPr>
          <w:rFonts w:asciiTheme="minorHAnsi" w:hAnsiTheme="minorHAnsi" w:cstheme="minorHAnsi"/>
        </w:rPr>
        <w:t>i</w:t>
      </w:r>
      <w:r w:rsidRPr="006450FB">
        <w:rPr>
          <w:rFonts w:asciiTheme="minorHAnsi" w:hAnsiTheme="minorHAnsi" w:cstheme="minorHAnsi"/>
        </w:rPr>
        <w:t xml:space="preserve">ndependent Crown </w:t>
      </w:r>
      <w:r w:rsidR="001F0BBF" w:rsidRPr="006450FB">
        <w:rPr>
          <w:rFonts w:asciiTheme="minorHAnsi" w:hAnsiTheme="minorHAnsi" w:cstheme="minorHAnsi"/>
        </w:rPr>
        <w:t>e</w:t>
      </w:r>
      <w:r w:rsidRPr="006450FB">
        <w:rPr>
          <w:rFonts w:asciiTheme="minorHAnsi" w:hAnsiTheme="minorHAnsi" w:cstheme="minorHAnsi"/>
        </w:rPr>
        <w:t xml:space="preserve">ntities, Crown </w:t>
      </w:r>
      <w:r w:rsidR="001F0BBF" w:rsidRPr="006450FB">
        <w:rPr>
          <w:rFonts w:asciiTheme="minorHAnsi" w:hAnsiTheme="minorHAnsi" w:cstheme="minorHAnsi"/>
        </w:rPr>
        <w:t>e</w:t>
      </w:r>
      <w:r w:rsidRPr="006450FB">
        <w:rPr>
          <w:rFonts w:asciiTheme="minorHAnsi" w:hAnsiTheme="minorHAnsi" w:cstheme="minorHAnsi"/>
        </w:rPr>
        <w:t xml:space="preserve">ntity </w:t>
      </w:r>
      <w:r w:rsidR="001F0BBF" w:rsidRPr="006450FB">
        <w:rPr>
          <w:rFonts w:asciiTheme="minorHAnsi" w:hAnsiTheme="minorHAnsi" w:cstheme="minorHAnsi"/>
        </w:rPr>
        <w:t>c</w:t>
      </w:r>
      <w:r w:rsidRPr="006450FB">
        <w:rPr>
          <w:rFonts w:asciiTheme="minorHAnsi" w:hAnsiTheme="minorHAnsi" w:cstheme="minorHAnsi"/>
        </w:rPr>
        <w:t>ompanies (</w:t>
      </w:r>
      <w:r w:rsidR="00D136D2" w:rsidRPr="006450FB">
        <w:rPr>
          <w:rFonts w:asciiTheme="minorHAnsi" w:hAnsiTheme="minorHAnsi" w:cstheme="minorHAnsi"/>
        </w:rPr>
        <w:t>for example</w:t>
      </w:r>
      <w:r w:rsidR="00437848" w:rsidRPr="006450FB">
        <w:rPr>
          <w:rFonts w:asciiTheme="minorHAnsi" w:hAnsiTheme="minorHAnsi" w:cstheme="minorHAnsi"/>
        </w:rPr>
        <w:t>,</w:t>
      </w:r>
      <w:r w:rsidRPr="006450FB">
        <w:rPr>
          <w:rFonts w:asciiTheme="minorHAnsi" w:hAnsiTheme="minorHAnsi" w:cstheme="minorHAnsi"/>
        </w:rPr>
        <w:t xml:space="preserve"> Crown </w:t>
      </w:r>
      <w:r w:rsidR="001F0BBF" w:rsidRPr="006450FB">
        <w:rPr>
          <w:rFonts w:asciiTheme="minorHAnsi" w:hAnsiTheme="minorHAnsi" w:cstheme="minorHAnsi"/>
        </w:rPr>
        <w:t>r</w:t>
      </w:r>
      <w:r w:rsidRPr="006450FB">
        <w:rPr>
          <w:rFonts w:asciiTheme="minorHAnsi" w:hAnsiTheme="minorHAnsi" w:cstheme="minorHAnsi"/>
        </w:rPr>
        <w:t xml:space="preserve">esearch </w:t>
      </w:r>
      <w:r w:rsidR="001F0BBF" w:rsidRPr="006450FB">
        <w:rPr>
          <w:rFonts w:asciiTheme="minorHAnsi" w:hAnsiTheme="minorHAnsi" w:cstheme="minorHAnsi"/>
        </w:rPr>
        <w:t>e</w:t>
      </w:r>
      <w:r w:rsidRPr="006450FB">
        <w:rPr>
          <w:rFonts w:asciiTheme="minorHAnsi" w:hAnsiTheme="minorHAnsi" w:cstheme="minorHAnsi"/>
        </w:rPr>
        <w:t xml:space="preserve">ntities), </w:t>
      </w:r>
      <w:r w:rsidR="001F0BBF" w:rsidRPr="006450FB">
        <w:rPr>
          <w:rFonts w:asciiTheme="minorHAnsi" w:hAnsiTheme="minorHAnsi" w:cstheme="minorHAnsi"/>
        </w:rPr>
        <w:t>s</w:t>
      </w:r>
      <w:r w:rsidRPr="006450FB">
        <w:rPr>
          <w:rFonts w:asciiTheme="minorHAnsi" w:hAnsiTheme="minorHAnsi" w:cstheme="minorHAnsi"/>
        </w:rPr>
        <w:t xml:space="preserve">chool </w:t>
      </w:r>
      <w:r w:rsidR="001F0BBF" w:rsidRPr="006450FB">
        <w:rPr>
          <w:rFonts w:asciiTheme="minorHAnsi" w:hAnsiTheme="minorHAnsi" w:cstheme="minorHAnsi"/>
        </w:rPr>
        <w:t>b</w:t>
      </w:r>
      <w:r w:rsidRPr="006450FB">
        <w:rPr>
          <w:rFonts w:asciiTheme="minorHAnsi" w:hAnsiTheme="minorHAnsi" w:cstheme="minorHAnsi"/>
        </w:rPr>
        <w:t xml:space="preserve">oards of </w:t>
      </w:r>
      <w:r w:rsidR="001F0BBF" w:rsidRPr="006450FB">
        <w:rPr>
          <w:rFonts w:asciiTheme="minorHAnsi" w:hAnsiTheme="minorHAnsi" w:cstheme="minorHAnsi"/>
        </w:rPr>
        <w:t>t</w:t>
      </w:r>
      <w:r w:rsidRPr="006450FB">
        <w:rPr>
          <w:rFonts w:asciiTheme="minorHAnsi" w:hAnsiTheme="minorHAnsi" w:cstheme="minorHAnsi"/>
        </w:rPr>
        <w:t xml:space="preserve">rusties, and </w:t>
      </w:r>
      <w:r w:rsidR="001F0BBF" w:rsidRPr="006450FB">
        <w:rPr>
          <w:rFonts w:asciiTheme="minorHAnsi" w:hAnsiTheme="minorHAnsi" w:cstheme="minorHAnsi"/>
        </w:rPr>
        <w:t>t</w:t>
      </w:r>
      <w:r w:rsidRPr="006450FB">
        <w:rPr>
          <w:rFonts w:asciiTheme="minorHAnsi" w:hAnsiTheme="minorHAnsi" w:cstheme="minorHAnsi"/>
        </w:rPr>
        <w:t xml:space="preserve">ertiary </w:t>
      </w:r>
      <w:r w:rsidR="001F0BBF" w:rsidRPr="006450FB">
        <w:rPr>
          <w:rFonts w:asciiTheme="minorHAnsi" w:hAnsiTheme="minorHAnsi" w:cstheme="minorHAnsi"/>
        </w:rPr>
        <w:t>i</w:t>
      </w:r>
      <w:r w:rsidRPr="006450FB">
        <w:rPr>
          <w:rFonts w:asciiTheme="minorHAnsi" w:hAnsiTheme="minorHAnsi" w:cstheme="minorHAnsi"/>
        </w:rPr>
        <w:t>nstitutions.</w:t>
      </w:r>
    </w:p>
    <w:p w14:paraId="6C09E4B1" w14:textId="71CA96DE" w:rsidR="00461E91" w:rsidRPr="006450FB" w:rsidRDefault="00461E91" w:rsidP="00ED7DEC">
      <w:pPr>
        <w:pStyle w:val="TextlistorbulletLR"/>
        <w:numPr>
          <w:ilvl w:val="0"/>
          <w:numId w:val="23"/>
        </w:numPr>
        <w:rPr>
          <w:rFonts w:asciiTheme="minorHAnsi" w:hAnsiTheme="minorHAnsi" w:cstheme="minorHAnsi"/>
        </w:rPr>
      </w:pPr>
      <w:r w:rsidRPr="006450FB">
        <w:rPr>
          <w:rFonts w:asciiTheme="minorHAnsi" w:hAnsiTheme="minorHAnsi" w:cstheme="minorHAnsi"/>
        </w:rPr>
        <w:t xml:space="preserve">Independent </w:t>
      </w:r>
      <w:r w:rsidR="001F0BBF" w:rsidRPr="006450FB">
        <w:rPr>
          <w:rFonts w:asciiTheme="minorHAnsi" w:hAnsiTheme="minorHAnsi" w:cstheme="minorHAnsi"/>
        </w:rPr>
        <w:t>s</w:t>
      </w:r>
      <w:r w:rsidRPr="006450FB">
        <w:rPr>
          <w:rFonts w:asciiTheme="minorHAnsi" w:hAnsiTheme="minorHAnsi" w:cstheme="minorHAnsi"/>
        </w:rPr>
        <w:t xml:space="preserve">tatutory </w:t>
      </w:r>
      <w:r w:rsidR="001F0BBF" w:rsidRPr="006450FB">
        <w:rPr>
          <w:rFonts w:asciiTheme="minorHAnsi" w:hAnsiTheme="minorHAnsi" w:cstheme="minorHAnsi"/>
        </w:rPr>
        <w:t>e</w:t>
      </w:r>
      <w:r w:rsidRPr="006450FB">
        <w:rPr>
          <w:rFonts w:asciiTheme="minorHAnsi" w:hAnsiTheme="minorHAnsi" w:cstheme="minorHAnsi"/>
        </w:rPr>
        <w:t>ntities</w:t>
      </w:r>
    </w:p>
    <w:p w14:paraId="52974692" w14:textId="2A5828BC" w:rsidR="00461E91" w:rsidRPr="006450FB" w:rsidRDefault="00461E91" w:rsidP="00ED7DEC">
      <w:pPr>
        <w:pStyle w:val="TextlistorbulletLR"/>
        <w:numPr>
          <w:ilvl w:val="0"/>
          <w:numId w:val="23"/>
        </w:numPr>
        <w:rPr>
          <w:rFonts w:asciiTheme="minorHAnsi" w:hAnsiTheme="minorHAnsi" w:cstheme="minorHAnsi"/>
        </w:rPr>
      </w:pPr>
      <w:r w:rsidRPr="006450FB">
        <w:rPr>
          <w:rFonts w:asciiTheme="minorHAnsi" w:hAnsiTheme="minorHAnsi" w:cstheme="minorHAnsi"/>
        </w:rPr>
        <w:t xml:space="preserve">Public Finance Act 1989 Schedule 4 </w:t>
      </w:r>
      <w:r w:rsidR="001F0BBF" w:rsidRPr="006450FB">
        <w:rPr>
          <w:rFonts w:asciiTheme="minorHAnsi" w:hAnsiTheme="minorHAnsi" w:cstheme="minorHAnsi"/>
        </w:rPr>
        <w:t>o</w:t>
      </w:r>
      <w:r w:rsidRPr="006450FB">
        <w:rPr>
          <w:rFonts w:asciiTheme="minorHAnsi" w:hAnsiTheme="minorHAnsi" w:cstheme="minorHAnsi"/>
        </w:rPr>
        <w:t>rganisations (</w:t>
      </w:r>
      <w:r w:rsidR="00D136D2" w:rsidRPr="006450FB">
        <w:rPr>
          <w:rFonts w:asciiTheme="minorHAnsi" w:hAnsiTheme="minorHAnsi" w:cstheme="minorHAnsi"/>
        </w:rPr>
        <w:t>for example</w:t>
      </w:r>
      <w:r w:rsidR="00193B51" w:rsidRPr="006450FB">
        <w:rPr>
          <w:rFonts w:asciiTheme="minorHAnsi" w:hAnsiTheme="minorHAnsi" w:cstheme="minorHAnsi"/>
        </w:rPr>
        <w:t>,</w:t>
      </w:r>
      <w:r w:rsidRPr="006450FB">
        <w:rPr>
          <w:rFonts w:asciiTheme="minorHAnsi" w:hAnsiTheme="minorHAnsi" w:cstheme="minorHAnsi"/>
        </w:rPr>
        <w:t xml:space="preserve"> Agricultural and Marketing Research and Development Trust or N</w:t>
      </w:r>
      <w:r w:rsidR="001F0BBF" w:rsidRPr="006450FB">
        <w:rPr>
          <w:rFonts w:asciiTheme="minorHAnsi" w:hAnsiTheme="minorHAnsi" w:cstheme="minorHAnsi"/>
        </w:rPr>
        <w:t xml:space="preserve">ew </w:t>
      </w:r>
      <w:r w:rsidRPr="006450FB">
        <w:rPr>
          <w:rFonts w:asciiTheme="minorHAnsi" w:hAnsiTheme="minorHAnsi" w:cstheme="minorHAnsi"/>
        </w:rPr>
        <w:t>Z</w:t>
      </w:r>
      <w:r w:rsidR="001F0BBF" w:rsidRPr="006450FB">
        <w:rPr>
          <w:rFonts w:asciiTheme="minorHAnsi" w:hAnsiTheme="minorHAnsi" w:cstheme="minorHAnsi"/>
        </w:rPr>
        <w:t>ealand</w:t>
      </w:r>
      <w:r w:rsidRPr="006450FB">
        <w:rPr>
          <w:rFonts w:asciiTheme="minorHAnsi" w:hAnsiTheme="minorHAnsi" w:cstheme="minorHAnsi"/>
        </w:rPr>
        <w:t xml:space="preserve"> Government Property Corporation)</w:t>
      </w:r>
    </w:p>
    <w:p w14:paraId="107B3B04" w14:textId="3D0141DC" w:rsidR="00461E91" w:rsidRPr="006450FB" w:rsidRDefault="00461E91" w:rsidP="00ED7DEC">
      <w:pPr>
        <w:pStyle w:val="TextlistorbulletLR"/>
        <w:numPr>
          <w:ilvl w:val="0"/>
          <w:numId w:val="23"/>
        </w:numPr>
        <w:rPr>
          <w:rFonts w:asciiTheme="minorHAnsi" w:hAnsiTheme="minorHAnsi" w:cstheme="minorHAnsi"/>
        </w:rPr>
      </w:pPr>
      <w:r w:rsidRPr="006450FB">
        <w:rPr>
          <w:rFonts w:asciiTheme="minorHAnsi" w:hAnsiTheme="minorHAnsi" w:cstheme="minorHAnsi"/>
        </w:rPr>
        <w:t xml:space="preserve">Public Finance Act 1989 Schedule 4A </w:t>
      </w:r>
      <w:r w:rsidR="001F0BBF" w:rsidRPr="006450FB">
        <w:rPr>
          <w:rFonts w:asciiTheme="minorHAnsi" w:hAnsiTheme="minorHAnsi" w:cstheme="minorHAnsi"/>
        </w:rPr>
        <w:t>c</w:t>
      </w:r>
      <w:r w:rsidRPr="006450FB">
        <w:rPr>
          <w:rFonts w:asciiTheme="minorHAnsi" w:hAnsiTheme="minorHAnsi" w:cstheme="minorHAnsi"/>
        </w:rPr>
        <w:t>ompanies (</w:t>
      </w:r>
      <w:r w:rsidR="00D136D2" w:rsidRPr="006450FB">
        <w:rPr>
          <w:rFonts w:asciiTheme="minorHAnsi" w:hAnsiTheme="minorHAnsi" w:cstheme="minorHAnsi"/>
        </w:rPr>
        <w:t>for example</w:t>
      </w:r>
      <w:r w:rsidR="00193B51" w:rsidRPr="006450FB">
        <w:rPr>
          <w:rFonts w:asciiTheme="minorHAnsi" w:hAnsiTheme="minorHAnsi" w:cstheme="minorHAnsi"/>
        </w:rPr>
        <w:t>,</w:t>
      </w:r>
      <w:r w:rsidRPr="006450FB">
        <w:rPr>
          <w:rFonts w:asciiTheme="minorHAnsi" w:hAnsiTheme="minorHAnsi" w:cstheme="minorHAnsi"/>
        </w:rPr>
        <w:t xml:space="preserve"> City Rail Link Ltd, Crown Infrastructure Partners Ltd)</w:t>
      </w:r>
    </w:p>
    <w:p w14:paraId="6293B21D" w14:textId="01430F18" w:rsidR="00461E91" w:rsidRPr="006450FB" w:rsidRDefault="00461E91" w:rsidP="00ED7DEC">
      <w:pPr>
        <w:pStyle w:val="TextlistorbulletLR"/>
        <w:numPr>
          <w:ilvl w:val="0"/>
          <w:numId w:val="23"/>
        </w:numPr>
        <w:rPr>
          <w:rFonts w:asciiTheme="minorHAnsi" w:hAnsiTheme="minorHAnsi" w:cstheme="minorHAnsi"/>
        </w:rPr>
      </w:pPr>
      <w:r w:rsidRPr="006450FB">
        <w:rPr>
          <w:rFonts w:asciiTheme="minorHAnsi" w:hAnsiTheme="minorHAnsi" w:cstheme="minorHAnsi"/>
        </w:rPr>
        <w:t>The Reserve Bank of New Zealand</w:t>
      </w:r>
    </w:p>
    <w:p w14:paraId="5724DC13" w14:textId="74487786" w:rsidR="00461E91" w:rsidRPr="006450FB" w:rsidRDefault="00461E91" w:rsidP="00ED7DEC">
      <w:pPr>
        <w:pStyle w:val="TextlistorbulletLR"/>
        <w:numPr>
          <w:ilvl w:val="0"/>
          <w:numId w:val="23"/>
        </w:numPr>
        <w:rPr>
          <w:rFonts w:asciiTheme="minorHAnsi" w:hAnsiTheme="minorHAnsi" w:cstheme="minorHAnsi"/>
        </w:rPr>
      </w:pPr>
      <w:r w:rsidRPr="006450FB">
        <w:rPr>
          <w:rFonts w:asciiTheme="minorHAnsi" w:hAnsiTheme="minorHAnsi" w:cstheme="minorHAnsi"/>
        </w:rPr>
        <w:t>Officers of Parliament (</w:t>
      </w:r>
      <w:r w:rsidR="00D136D2" w:rsidRPr="006450FB">
        <w:rPr>
          <w:rFonts w:asciiTheme="minorHAnsi" w:hAnsiTheme="minorHAnsi" w:cstheme="minorHAnsi"/>
        </w:rPr>
        <w:t>for example</w:t>
      </w:r>
      <w:r w:rsidR="00193B51" w:rsidRPr="006450FB">
        <w:rPr>
          <w:rFonts w:asciiTheme="minorHAnsi" w:hAnsiTheme="minorHAnsi" w:cstheme="minorHAnsi"/>
        </w:rPr>
        <w:t>,</w:t>
      </w:r>
      <w:r w:rsidRPr="006450FB">
        <w:rPr>
          <w:rFonts w:asciiTheme="minorHAnsi" w:hAnsiTheme="minorHAnsi" w:cstheme="minorHAnsi"/>
        </w:rPr>
        <w:t xml:space="preserve"> Parliamentary Commissioner for the Environment)</w:t>
      </w:r>
    </w:p>
    <w:p w14:paraId="3C1BA111" w14:textId="1B1E5162" w:rsidR="00461E91" w:rsidRPr="006450FB" w:rsidRDefault="00461E91" w:rsidP="00ED7DEC">
      <w:pPr>
        <w:pStyle w:val="TextlistorbulletLR"/>
        <w:numPr>
          <w:ilvl w:val="0"/>
          <w:numId w:val="23"/>
        </w:numPr>
        <w:rPr>
          <w:rFonts w:asciiTheme="minorHAnsi" w:hAnsiTheme="minorHAnsi" w:cstheme="minorHAnsi"/>
        </w:rPr>
      </w:pPr>
      <w:r w:rsidRPr="006450FB">
        <w:rPr>
          <w:rFonts w:asciiTheme="minorHAnsi" w:hAnsiTheme="minorHAnsi" w:cstheme="minorHAnsi"/>
        </w:rPr>
        <w:t>State-owned enterprises (</w:t>
      </w:r>
      <w:r w:rsidR="00D136D2" w:rsidRPr="006450FB">
        <w:rPr>
          <w:rFonts w:asciiTheme="minorHAnsi" w:hAnsiTheme="minorHAnsi" w:cstheme="minorHAnsi"/>
        </w:rPr>
        <w:t>for example</w:t>
      </w:r>
      <w:r w:rsidR="00193B51" w:rsidRPr="006450FB">
        <w:rPr>
          <w:rFonts w:asciiTheme="minorHAnsi" w:hAnsiTheme="minorHAnsi" w:cstheme="minorHAnsi"/>
        </w:rPr>
        <w:t>,</w:t>
      </w:r>
      <w:r w:rsidRPr="006450FB">
        <w:rPr>
          <w:rFonts w:asciiTheme="minorHAnsi" w:hAnsiTheme="minorHAnsi" w:cstheme="minorHAnsi"/>
        </w:rPr>
        <w:t xml:space="preserve"> Transpower, NZ Post, Landcorp Farming Ltd)</w:t>
      </w:r>
    </w:p>
    <w:p w14:paraId="3DAA9100" w14:textId="2CCC8B5D" w:rsidR="00C518C1" w:rsidRPr="006450FB" w:rsidRDefault="00461E91" w:rsidP="00ED7DEC">
      <w:pPr>
        <w:pStyle w:val="TextlistorbulletLR"/>
        <w:numPr>
          <w:ilvl w:val="0"/>
          <w:numId w:val="23"/>
        </w:numPr>
        <w:rPr>
          <w:rFonts w:asciiTheme="minorHAnsi" w:hAnsiTheme="minorHAnsi" w:cstheme="minorHAnsi"/>
        </w:rPr>
      </w:pPr>
      <w:r w:rsidRPr="006450FB">
        <w:rPr>
          <w:rFonts w:asciiTheme="minorHAnsi" w:hAnsiTheme="minorHAnsi" w:cstheme="minorHAnsi"/>
        </w:rPr>
        <w:t>Mixed ownership model companies (Genesis Energy, Mercury NZ, Meridian Energy)</w:t>
      </w:r>
    </w:p>
    <w:p w14:paraId="00777E0A" w14:textId="77777777" w:rsidR="00ED7DEC" w:rsidRPr="006450FB" w:rsidRDefault="00ED7DEC" w:rsidP="00ED7DEC">
      <w:pPr>
        <w:pStyle w:val="TextlistorbulletLR"/>
        <w:ind w:left="0" w:firstLine="0"/>
        <w:rPr>
          <w:rFonts w:asciiTheme="minorHAnsi" w:hAnsiTheme="minorHAnsi" w:cstheme="minorHAnsi"/>
        </w:rPr>
      </w:pPr>
    </w:p>
    <w:p w14:paraId="0A270CD0" w14:textId="405135B6" w:rsidR="00CF1432" w:rsidRPr="006450FB" w:rsidRDefault="008775B2" w:rsidP="00ED7DEC">
      <w:pPr>
        <w:pStyle w:val="TextnoindentLR"/>
        <w:rPr>
          <w:rFonts w:asciiTheme="minorHAnsi" w:hAnsiTheme="minorHAnsi" w:cstheme="minorHAnsi"/>
        </w:rPr>
      </w:pPr>
      <w:r w:rsidRPr="006450FB">
        <w:rPr>
          <w:rFonts w:asciiTheme="minorHAnsi" w:hAnsiTheme="minorHAnsi" w:cstheme="minorHAnsi"/>
          <w:szCs w:val="24"/>
        </w:rPr>
        <w:t xml:space="preserve">As </w:t>
      </w:r>
      <w:r w:rsidR="000757EE" w:rsidRPr="006450FB">
        <w:rPr>
          <w:rFonts w:asciiTheme="minorHAnsi" w:hAnsiTheme="minorHAnsi" w:cstheme="minorHAnsi"/>
          <w:szCs w:val="24"/>
        </w:rPr>
        <w:t xml:space="preserve">David </w:t>
      </w:r>
      <w:r w:rsidRPr="006450FB">
        <w:rPr>
          <w:rFonts w:asciiTheme="minorHAnsi" w:hAnsiTheme="minorHAnsi" w:cstheme="minorHAnsi"/>
          <w:szCs w:val="24"/>
        </w:rPr>
        <w:t xml:space="preserve">Blacktop has noted, at the time </w:t>
      </w:r>
      <w:r w:rsidR="005A1B77" w:rsidRPr="006450FB">
        <w:rPr>
          <w:rFonts w:asciiTheme="minorHAnsi" w:hAnsiTheme="minorHAnsi" w:cstheme="minorHAnsi"/>
        </w:rPr>
        <w:t>ss 5 and 6 of the Commerce Act</w:t>
      </w:r>
      <w:r w:rsidR="005A1B77" w:rsidRPr="006450FB">
        <w:rPr>
          <w:rFonts w:asciiTheme="minorHAnsi" w:hAnsiTheme="minorHAnsi" w:cstheme="minorHAnsi"/>
          <w:szCs w:val="24"/>
        </w:rPr>
        <w:t xml:space="preserve"> and </w:t>
      </w:r>
      <w:r w:rsidR="00193B51" w:rsidRPr="006450FB">
        <w:rPr>
          <w:rFonts w:asciiTheme="minorHAnsi" w:hAnsiTheme="minorHAnsi" w:cstheme="minorHAnsi"/>
          <w:szCs w:val="24"/>
        </w:rPr>
        <w:t>its</w:t>
      </w:r>
      <w:r w:rsidR="005A1B77" w:rsidRPr="006450FB">
        <w:rPr>
          <w:rFonts w:asciiTheme="minorHAnsi" w:hAnsiTheme="minorHAnsi" w:cstheme="minorHAnsi"/>
          <w:szCs w:val="24"/>
        </w:rPr>
        <w:t xml:space="preserve"> predecessors </w:t>
      </w:r>
      <w:r w:rsidRPr="006450FB">
        <w:rPr>
          <w:rFonts w:asciiTheme="minorHAnsi" w:hAnsiTheme="minorHAnsi" w:cstheme="minorHAnsi"/>
          <w:szCs w:val="24"/>
        </w:rPr>
        <w:t xml:space="preserve">were introduced, </w:t>
      </w:r>
      <w:r w:rsidRPr="006450FB">
        <w:rPr>
          <w:rFonts w:asciiTheme="minorHAnsi" w:hAnsiTheme="minorHAnsi" w:cstheme="minorHAnsi"/>
        </w:rPr>
        <w:t>New Zealand’s economy was characterised by heavy government involvement in the economy through price controls, state run monopolies, and tariff and licensing requirements.</w:t>
      </w:r>
      <w:bookmarkStart w:id="10" w:name="_Ref136281373"/>
      <w:r w:rsidRPr="006450FB">
        <w:rPr>
          <w:rStyle w:val="FootnoteReference"/>
          <w:rFonts w:asciiTheme="minorHAnsi" w:hAnsiTheme="minorHAnsi" w:cstheme="minorHAnsi"/>
          <w:sz w:val="24"/>
          <w:szCs w:val="32"/>
        </w:rPr>
        <w:footnoteReference w:id="65"/>
      </w:r>
      <w:bookmarkEnd w:id="10"/>
      <w:r w:rsidRPr="006450FB">
        <w:rPr>
          <w:rFonts w:asciiTheme="minorHAnsi" w:hAnsiTheme="minorHAnsi" w:cstheme="minorHAnsi"/>
        </w:rPr>
        <w:t xml:space="preserve"> </w:t>
      </w:r>
      <w:r w:rsidR="001F56A5" w:rsidRPr="006450FB">
        <w:rPr>
          <w:rFonts w:asciiTheme="minorHAnsi" w:hAnsiTheme="minorHAnsi" w:cstheme="minorHAnsi"/>
        </w:rPr>
        <w:t xml:space="preserve">The relationship between the state sector and the private sector </w:t>
      </w:r>
      <w:r w:rsidR="001706B1" w:rsidRPr="006450FB">
        <w:rPr>
          <w:rFonts w:asciiTheme="minorHAnsi" w:hAnsiTheme="minorHAnsi" w:cstheme="minorHAnsi"/>
        </w:rPr>
        <w:t xml:space="preserve">since then has </w:t>
      </w:r>
      <w:r w:rsidR="00CF1432" w:rsidRPr="006450FB">
        <w:rPr>
          <w:rFonts w:asciiTheme="minorHAnsi" w:hAnsiTheme="minorHAnsi" w:cstheme="minorHAnsi"/>
        </w:rPr>
        <w:t>changed in at least three major ways.</w:t>
      </w:r>
    </w:p>
    <w:p w14:paraId="658A72DB" w14:textId="7524E042" w:rsidR="00DD1AB7" w:rsidRPr="006450FB" w:rsidRDefault="00CF1432" w:rsidP="00ED7DEC">
      <w:pPr>
        <w:pStyle w:val="TextindentedLR"/>
        <w:rPr>
          <w:rFonts w:asciiTheme="minorHAnsi" w:hAnsiTheme="minorHAnsi" w:cstheme="minorHAnsi"/>
        </w:rPr>
      </w:pPr>
      <w:r w:rsidRPr="006450FB">
        <w:rPr>
          <w:rFonts w:asciiTheme="minorHAnsi" w:hAnsiTheme="minorHAnsi" w:cstheme="minorHAnsi"/>
        </w:rPr>
        <w:t>First, there has been a s</w:t>
      </w:r>
      <w:r w:rsidR="001706B1" w:rsidRPr="006450FB">
        <w:rPr>
          <w:rFonts w:asciiTheme="minorHAnsi" w:hAnsiTheme="minorHAnsi" w:cstheme="minorHAnsi"/>
        </w:rPr>
        <w:t>ignificant reduction</w:t>
      </w:r>
      <w:r w:rsidR="00050259" w:rsidRPr="006450FB">
        <w:rPr>
          <w:rFonts w:asciiTheme="minorHAnsi" w:hAnsiTheme="minorHAnsi" w:cstheme="minorHAnsi"/>
        </w:rPr>
        <w:t xml:space="preserve"> in</w:t>
      </w:r>
      <w:r w:rsidR="001706B1" w:rsidRPr="006450FB">
        <w:rPr>
          <w:rFonts w:asciiTheme="minorHAnsi" w:hAnsiTheme="minorHAnsi" w:cstheme="minorHAnsi"/>
        </w:rPr>
        <w:t xml:space="preserve"> government trading entities</w:t>
      </w:r>
      <w:r w:rsidR="005F4352" w:rsidRPr="006450FB">
        <w:rPr>
          <w:rFonts w:asciiTheme="minorHAnsi" w:hAnsiTheme="minorHAnsi" w:cstheme="minorHAnsi"/>
        </w:rPr>
        <w:t xml:space="preserve">. With </w:t>
      </w:r>
      <w:r w:rsidR="009C5D52" w:rsidRPr="006450FB">
        <w:rPr>
          <w:rFonts w:asciiTheme="minorHAnsi" w:hAnsiTheme="minorHAnsi" w:cstheme="minorHAnsi"/>
        </w:rPr>
        <w:t>the possible e</w:t>
      </w:r>
      <w:r w:rsidR="005F4352" w:rsidRPr="006450FB">
        <w:rPr>
          <w:rFonts w:asciiTheme="minorHAnsi" w:hAnsiTheme="minorHAnsi" w:cstheme="minorHAnsi"/>
        </w:rPr>
        <w:t>xception</w:t>
      </w:r>
      <w:r w:rsidR="009C5D52" w:rsidRPr="006450FB">
        <w:rPr>
          <w:rFonts w:asciiTheme="minorHAnsi" w:hAnsiTheme="minorHAnsi" w:cstheme="minorHAnsi"/>
        </w:rPr>
        <w:t xml:space="preserve"> of </w:t>
      </w:r>
      <w:r w:rsidR="00DD1AB7" w:rsidRPr="006450FB">
        <w:rPr>
          <w:rFonts w:asciiTheme="minorHAnsi" w:hAnsiTheme="minorHAnsi" w:cstheme="minorHAnsi"/>
        </w:rPr>
        <w:t xml:space="preserve">the electricity sector, </w:t>
      </w:r>
      <w:r w:rsidR="00D136D2" w:rsidRPr="006450FB">
        <w:rPr>
          <w:rFonts w:asciiTheme="minorHAnsi" w:hAnsiTheme="minorHAnsi" w:cstheme="minorHAnsi"/>
        </w:rPr>
        <w:t>g</w:t>
      </w:r>
      <w:r w:rsidR="0003770F" w:rsidRPr="006450FB">
        <w:rPr>
          <w:rFonts w:asciiTheme="minorHAnsi" w:hAnsiTheme="minorHAnsi" w:cstheme="minorHAnsi"/>
        </w:rPr>
        <w:t xml:space="preserve">overnment today does not seek to </w:t>
      </w:r>
      <w:r w:rsidR="009C5D52" w:rsidRPr="006450FB">
        <w:rPr>
          <w:rFonts w:asciiTheme="minorHAnsi" w:hAnsiTheme="minorHAnsi" w:cstheme="minorHAnsi"/>
        </w:rPr>
        <w:t>own businesses in competitive markets.</w:t>
      </w:r>
      <w:r w:rsidR="00DD1AB7" w:rsidRPr="006450FB">
        <w:rPr>
          <w:rFonts w:asciiTheme="minorHAnsi" w:hAnsiTheme="minorHAnsi" w:cstheme="minorHAnsi"/>
        </w:rPr>
        <w:t xml:space="preserve"> The businesses it owns include</w:t>
      </w:r>
      <w:r w:rsidR="000A4391" w:rsidRPr="006450FB">
        <w:rPr>
          <w:rFonts w:asciiTheme="minorHAnsi" w:hAnsiTheme="minorHAnsi" w:cstheme="minorHAnsi"/>
        </w:rPr>
        <w:t xml:space="preserve"> tend to operate in</w:t>
      </w:r>
      <w:r w:rsidR="00DD1AB7" w:rsidRPr="006450FB">
        <w:rPr>
          <w:rFonts w:asciiTheme="minorHAnsi" w:hAnsiTheme="minorHAnsi" w:cstheme="minorHAnsi"/>
        </w:rPr>
        <w:t xml:space="preserve"> markets with limited </w:t>
      </w:r>
      <w:r w:rsidR="000D6849" w:rsidRPr="006450FB">
        <w:rPr>
          <w:rFonts w:asciiTheme="minorHAnsi" w:hAnsiTheme="minorHAnsi" w:cstheme="minorHAnsi"/>
        </w:rPr>
        <w:t>competition and</w:t>
      </w:r>
      <w:r w:rsidR="00DD1AB7" w:rsidRPr="006450FB">
        <w:rPr>
          <w:rFonts w:asciiTheme="minorHAnsi" w:hAnsiTheme="minorHAnsi" w:cstheme="minorHAnsi"/>
        </w:rPr>
        <w:t xml:space="preserve"> include businesses that were renationalised after </w:t>
      </w:r>
      <w:r w:rsidR="000A4391" w:rsidRPr="006450FB">
        <w:rPr>
          <w:rFonts w:asciiTheme="minorHAnsi" w:hAnsiTheme="minorHAnsi" w:cstheme="minorHAnsi"/>
        </w:rPr>
        <w:t>corporate failure</w:t>
      </w:r>
      <w:r w:rsidR="00DD1AB7" w:rsidRPr="006450FB">
        <w:rPr>
          <w:rFonts w:asciiTheme="minorHAnsi" w:hAnsiTheme="minorHAnsi" w:cstheme="minorHAnsi"/>
        </w:rPr>
        <w:t>.</w:t>
      </w:r>
    </w:p>
    <w:p w14:paraId="5B774A00" w14:textId="22BC4501" w:rsidR="001706B1" w:rsidRPr="006450FB" w:rsidRDefault="00F07096" w:rsidP="00ED7DEC">
      <w:pPr>
        <w:pStyle w:val="TextindentedLR"/>
        <w:rPr>
          <w:rFonts w:asciiTheme="minorHAnsi" w:hAnsiTheme="minorHAnsi" w:cstheme="minorHAnsi"/>
        </w:rPr>
      </w:pPr>
      <w:r w:rsidRPr="006450FB">
        <w:rPr>
          <w:rFonts w:asciiTheme="minorHAnsi" w:hAnsiTheme="minorHAnsi" w:cstheme="minorHAnsi"/>
        </w:rPr>
        <w:t>Second, there has been a g</w:t>
      </w:r>
      <w:r w:rsidR="001706B1" w:rsidRPr="006450FB">
        <w:rPr>
          <w:rFonts w:asciiTheme="minorHAnsi" w:hAnsiTheme="minorHAnsi" w:cstheme="minorHAnsi"/>
        </w:rPr>
        <w:t>reater focus on service delivery through private sector or non-governmental agencies</w:t>
      </w:r>
      <w:r w:rsidRPr="006450FB">
        <w:rPr>
          <w:rFonts w:asciiTheme="minorHAnsi" w:hAnsiTheme="minorHAnsi" w:cstheme="minorHAnsi"/>
        </w:rPr>
        <w:t xml:space="preserve">. </w:t>
      </w:r>
      <w:r w:rsidR="00077002" w:rsidRPr="006450FB">
        <w:rPr>
          <w:rFonts w:asciiTheme="minorHAnsi" w:hAnsiTheme="minorHAnsi" w:cstheme="minorHAnsi"/>
        </w:rPr>
        <w:t>Many core government services, including health</w:t>
      </w:r>
      <w:r w:rsidR="00EA3700" w:rsidRPr="006450FB">
        <w:rPr>
          <w:rFonts w:asciiTheme="minorHAnsi" w:hAnsiTheme="minorHAnsi" w:cstheme="minorHAnsi"/>
        </w:rPr>
        <w:t>,</w:t>
      </w:r>
      <w:r w:rsidR="00077002" w:rsidRPr="006450FB">
        <w:rPr>
          <w:rFonts w:asciiTheme="minorHAnsi" w:hAnsiTheme="minorHAnsi" w:cstheme="minorHAnsi"/>
        </w:rPr>
        <w:t xml:space="preserve"> </w:t>
      </w:r>
      <w:r w:rsidR="00437848" w:rsidRPr="006450FB">
        <w:rPr>
          <w:rFonts w:asciiTheme="minorHAnsi" w:hAnsiTheme="minorHAnsi" w:cstheme="minorHAnsi"/>
        </w:rPr>
        <w:t>housing,</w:t>
      </w:r>
      <w:r w:rsidR="00EA3700" w:rsidRPr="006450FB">
        <w:rPr>
          <w:rFonts w:asciiTheme="minorHAnsi" w:hAnsiTheme="minorHAnsi" w:cstheme="minorHAnsi"/>
        </w:rPr>
        <w:t xml:space="preserve"> and education</w:t>
      </w:r>
      <w:r w:rsidR="00077002" w:rsidRPr="006450FB">
        <w:rPr>
          <w:rFonts w:asciiTheme="minorHAnsi" w:hAnsiTheme="minorHAnsi" w:cstheme="minorHAnsi"/>
        </w:rPr>
        <w:t xml:space="preserve">, are </w:t>
      </w:r>
      <w:r w:rsidR="00851353" w:rsidRPr="006450FB">
        <w:rPr>
          <w:rFonts w:asciiTheme="minorHAnsi" w:hAnsiTheme="minorHAnsi" w:cstheme="minorHAnsi"/>
        </w:rPr>
        <w:t xml:space="preserve">wholly or partially </w:t>
      </w:r>
      <w:r w:rsidR="00A6212D" w:rsidRPr="006450FB">
        <w:rPr>
          <w:rFonts w:asciiTheme="minorHAnsi" w:hAnsiTheme="minorHAnsi" w:cstheme="minorHAnsi"/>
        </w:rPr>
        <w:t xml:space="preserve">funded by government but delivered by the private </w:t>
      </w:r>
      <w:r w:rsidR="00851353" w:rsidRPr="006450FB">
        <w:rPr>
          <w:rFonts w:asciiTheme="minorHAnsi" w:hAnsiTheme="minorHAnsi" w:cstheme="minorHAnsi"/>
        </w:rPr>
        <w:t xml:space="preserve">and not-for-profit </w:t>
      </w:r>
      <w:r w:rsidR="00A6212D" w:rsidRPr="006450FB">
        <w:rPr>
          <w:rFonts w:asciiTheme="minorHAnsi" w:hAnsiTheme="minorHAnsi" w:cstheme="minorHAnsi"/>
        </w:rPr>
        <w:t>sector</w:t>
      </w:r>
      <w:r w:rsidR="00851353" w:rsidRPr="006450FB">
        <w:rPr>
          <w:rFonts w:asciiTheme="minorHAnsi" w:hAnsiTheme="minorHAnsi" w:cstheme="minorHAnsi"/>
        </w:rPr>
        <w:t>s</w:t>
      </w:r>
      <w:r w:rsidR="00A6212D" w:rsidRPr="006450FB">
        <w:rPr>
          <w:rFonts w:asciiTheme="minorHAnsi" w:hAnsiTheme="minorHAnsi" w:cstheme="minorHAnsi"/>
        </w:rPr>
        <w:t>.</w:t>
      </w:r>
      <w:r w:rsidR="00851353" w:rsidRPr="006450FB">
        <w:rPr>
          <w:rFonts w:asciiTheme="minorHAnsi" w:hAnsiTheme="minorHAnsi" w:cstheme="minorHAnsi"/>
        </w:rPr>
        <w:t xml:space="preserve"> </w:t>
      </w:r>
      <w:r w:rsidR="000E6362" w:rsidRPr="006450FB">
        <w:rPr>
          <w:rFonts w:asciiTheme="minorHAnsi" w:hAnsiTheme="minorHAnsi" w:cstheme="minorHAnsi"/>
        </w:rPr>
        <w:lastRenderedPageBreak/>
        <w:t>Māori</w:t>
      </w:r>
      <w:r w:rsidR="001F0BBF" w:rsidRPr="006450FB">
        <w:rPr>
          <w:rFonts w:asciiTheme="minorHAnsi" w:hAnsiTheme="minorHAnsi" w:cstheme="minorHAnsi"/>
        </w:rPr>
        <w:t>-</w:t>
      </w:r>
      <w:r w:rsidR="000E6362" w:rsidRPr="006450FB">
        <w:rPr>
          <w:rFonts w:asciiTheme="minorHAnsi" w:hAnsiTheme="minorHAnsi" w:cstheme="minorHAnsi"/>
        </w:rPr>
        <w:t>led organisation</w:t>
      </w:r>
      <w:r w:rsidR="00A00FFB" w:rsidRPr="006450FB">
        <w:rPr>
          <w:rFonts w:asciiTheme="minorHAnsi" w:hAnsiTheme="minorHAnsi" w:cstheme="minorHAnsi"/>
        </w:rPr>
        <w:t xml:space="preserve">s of many types </w:t>
      </w:r>
      <w:r w:rsidR="006D61A4" w:rsidRPr="006450FB">
        <w:rPr>
          <w:rFonts w:asciiTheme="minorHAnsi" w:hAnsiTheme="minorHAnsi" w:cstheme="minorHAnsi"/>
        </w:rPr>
        <w:t>are</w:t>
      </w:r>
      <w:r w:rsidR="00D124E5" w:rsidRPr="006450FB">
        <w:rPr>
          <w:rFonts w:asciiTheme="minorHAnsi" w:hAnsiTheme="minorHAnsi" w:cstheme="minorHAnsi"/>
        </w:rPr>
        <w:t xml:space="preserve"> increasingly</w:t>
      </w:r>
      <w:r w:rsidR="006D61A4" w:rsidRPr="006450FB">
        <w:rPr>
          <w:rFonts w:asciiTheme="minorHAnsi" w:hAnsiTheme="minorHAnsi" w:cstheme="minorHAnsi"/>
        </w:rPr>
        <w:t xml:space="preserve"> </w:t>
      </w:r>
      <w:r w:rsidR="00E047A2" w:rsidRPr="006450FB">
        <w:rPr>
          <w:rFonts w:asciiTheme="minorHAnsi" w:hAnsiTheme="minorHAnsi" w:cstheme="minorHAnsi"/>
        </w:rPr>
        <w:t xml:space="preserve">recognised for their role </w:t>
      </w:r>
      <w:r w:rsidR="006D61A4" w:rsidRPr="006450FB">
        <w:rPr>
          <w:rFonts w:asciiTheme="minorHAnsi" w:hAnsiTheme="minorHAnsi" w:cstheme="minorHAnsi"/>
        </w:rPr>
        <w:t>delivering services to their community</w:t>
      </w:r>
      <w:r w:rsidR="00325466" w:rsidRPr="006450FB">
        <w:rPr>
          <w:rFonts w:asciiTheme="minorHAnsi" w:hAnsiTheme="minorHAnsi" w:cstheme="minorHAnsi"/>
        </w:rPr>
        <w:t>, including through Whānau Ora</w:t>
      </w:r>
      <w:r w:rsidR="00E047A2" w:rsidRPr="006450FB">
        <w:rPr>
          <w:rFonts w:asciiTheme="minorHAnsi" w:hAnsiTheme="minorHAnsi" w:cstheme="minorHAnsi"/>
        </w:rPr>
        <w:t>.</w:t>
      </w:r>
      <w:r w:rsidR="00E047A2" w:rsidRPr="006450FB">
        <w:rPr>
          <w:rStyle w:val="FootnoteReference"/>
          <w:rFonts w:asciiTheme="minorHAnsi" w:hAnsiTheme="minorHAnsi" w:cstheme="minorHAnsi"/>
          <w:sz w:val="24"/>
          <w:szCs w:val="24"/>
        </w:rPr>
        <w:footnoteReference w:id="66"/>
      </w:r>
    </w:p>
    <w:p w14:paraId="03C801C3" w14:textId="768226F1" w:rsidR="002E4D21" w:rsidRPr="006450FB" w:rsidRDefault="00F07096" w:rsidP="00ED7DEC">
      <w:pPr>
        <w:pStyle w:val="TextindentedLR"/>
        <w:rPr>
          <w:rFonts w:asciiTheme="minorHAnsi" w:hAnsiTheme="minorHAnsi" w:cstheme="minorHAnsi"/>
        </w:rPr>
      </w:pPr>
      <w:r w:rsidRPr="006450FB">
        <w:rPr>
          <w:rFonts w:asciiTheme="minorHAnsi" w:hAnsiTheme="minorHAnsi" w:cstheme="minorHAnsi"/>
        </w:rPr>
        <w:t>Third, there has been a</w:t>
      </w:r>
      <w:r w:rsidR="001706B1" w:rsidRPr="006450FB">
        <w:rPr>
          <w:rFonts w:asciiTheme="minorHAnsi" w:hAnsiTheme="minorHAnsi" w:cstheme="minorHAnsi"/>
        </w:rPr>
        <w:t>n increased use of industry-led</w:t>
      </w:r>
      <w:r w:rsidR="00854440" w:rsidRPr="006450FB">
        <w:rPr>
          <w:rFonts w:asciiTheme="minorHAnsi" w:hAnsiTheme="minorHAnsi" w:cstheme="minorHAnsi"/>
        </w:rPr>
        <w:t xml:space="preserve"> or industry-involved</w:t>
      </w:r>
      <w:r w:rsidR="001706B1" w:rsidRPr="006450FB">
        <w:rPr>
          <w:rFonts w:asciiTheme="minorHAnsi" w:hAnsiTheme="minorHAnsi" w:cstheme="minorHAnsi"/>
        </w:rPr>
        <w:t xml:space="preserve"> regulatory approaches</w:t>
      </w:r>
      <w:r w:rsidRPr="006450FB">
        <w:rPr>
          <w:rFonts w:asciiTheme="minorHAnsi" w:hAnsiTheme="minorHAnsi" w:cstheme="minorHAnsi"/>
        </w:rPr>
        <w:t xml:space="preserve">, resulting in significant public power being exercised by </w:t>
      </w:r>
      <w:r w:rsidR="001A30EB" w:rsidRPr="006450FB">
        <w:rPr>
          <w:rFonts w:asciiTheme="minorHAnsi" w:hAnsiTheme="minorHAnsi" w:cstheme="minorHAnsi"/>
        </w:rPr>
        <w:t>industry bodies. For example, the Gas Industry Company</w:t>
      </w:r>
      <w:r w:rsidR="00502EAF" w:rsidRPr="006450FB">
        <w:rPr>
          <w:rFonts w:asciiTheme="minorHAnsi" w:hAnsiTheme="minorHAnsi" w:cstheme="minorHAnsi"/>
        </w:rPr>
        <w:t xml:space="preserve"> serves as the</w:t>
      </w:r>
      <w:r w:rsidR="001A30EB" w:rsidRPr="006450FB">
        <w:rPr>
          <w:rFonts w:asciiTheme="minorHAnsi" w:hAnsiTheme="minorHAnsi" w:cstheme="minorHAnsi"/>
        </w:rPr>
        <w:t xml:space="preserve"> </w:t>
      </w:r>
      <w:r w:rsidR="00A32902" w:rsidRPr="006450FB">
        <w:rPr>
          <w:rFonts w:asciiTheme="minorHAnsi" w:hAnsiTheme="minorHAnsi" w:cstheme="minorHAnsi"/>
        </w:rPr>
        <w:t xml:space="preserve">industry </w:t>
      </w:r>
      <w:r w:rsidR="001A30EB" w:rsidRPr="006450FB">
        <w:rPr>
          <w:rFonts w:asciiTheme="minorHAnsi" w:hAnsiTheme="minorHAnsi" w:cstheme="minorHAnsi"/>
        </w:rPr>
        <w:t>regulat</w:t>
      </w:r>
      <w:r w:rsidR="00502EAF" w:rsidRPr="006450FB">
        <w:rPr>
          <w:rFonts w:asciiTheme="minorHAnsi" w:hAnsiTheme="minorHAnsi" w:cstheme="minorHAnsi"/>
        </w:rPr>
        <w:t>or of</w:t>
      </w:r>
      <w:r w:rsidR="001A30EB" w:rsidRPr="006450FB">
        <w:rPr>
          <w:rFonts w:asciiTheme="minorHAnsi" w:hAnsiTheme="minorHAnsi" w:cstheme="minorHAnsi"/>
        </w:rPr>
        <w:t xml:space="preserve"> many aspects of the </w:t>
      </w:r>
      <w:r w:rsidR="00A32902" w:rsidRPr="006450FB">
        <w:rPr>
          <w:rFonts w:asciiTheme="minorHAnsi" w:hAnsiTheme="minorHAnsi" w:cstheme="minorHAnsi"/>
        </w:rPr>
        <w:t>g</w:t>
      </w:r>
      <w:r w:rsidR="001A30EB" w:rsidRPr="006450FB">
        <w:rPr>
          <w:rFonts w:asciiTheme="minorHAnsi" w:hAnsiTheme="minorHAnsi" w:cstheme="minorHAnsi"/>
        </w:rPr>
        <w:t xml:space="preserve">as </w:t>
      </w:r>
      <w:r w:rsidR="00A32902" w:rsidRPr="006450FB">
        <w:rPr>
          <w:rFonts w:asciiTheme="minorHAnsi" w:hAnsiTheme="minorHAnsi" w:cstheme="minorHAnsi"/>
        </w:rPr>
        <w:t xml:space="preserve">industry, performing roles </w:t>
      </w:r>
      <w:r w:rsidR="00A6212D" w:rsidRPr="006450FB">
        <w:rPr>
          <w:rFonts w:asciiTheme="minorHAnsi" w:hAnsiTheme="minorHAnsi" w:cstheme="minorHAnsi"/>
        </w:rPr>
        <w:t>under the Gas Act 1992</w:t>
      </w:r>
      <w:r w:rsidR="00A32902" w:rsidRPr="006450FB">
        <w:rPr>
          <w:rFonts w:asciiTheme="minorHAnsi" w:hAnsiTheme="minorHAnsi" w:cstheme="minorHAnsi"/>
        </w:rPr>
        <w:t xml:space="preserve"> that might otherwise be performed by an independent crown entity such as the Electricity Authority or Commerce Commission</w:t>
      </w:r>
      <w:r w:rsidR="00A6212D" w:rsidRPr="006450FB">
        <w:rPr>
          <w:rFonts w:asciiTheme="minorHAnsi" w:hAnsiTheme="minorHAnsi" w:cstheme="minorHAnsi"/>
        </w:rPr>
        <w:t>.</w:t>
      </w:r>
    </w:p>
    <w:p w14:paraId="36036989" w14:textId="2BB0091D" w:rsidR="001706B1" w:rsidRPr="006450FB" w:rsidRDefault="002E4D21" w:rsidP="00ED7DEC">
      <w:pPr>
        <w:pStyle w:val="TextindentedLR"/>
        <w:rPr>
          <w:rFonts w:asciiTheme="minorHAnsi" w:hAnsiTheme="minorHAnsi" w:cstheme="minorHAnsi"/>
        </w:rPr>
      </w:pPr>
      <w:r w:rsidRPr="006450FB">
        <w:rPr>
          <w:rFonts w:asciiTheme="minorHAnsi" w:hAnsiTheme="minorHAnsi" w:cstheme="minorHAnsi"/>
        </w:rPr>
        <w:t xml:space="preserve">At the same time, </w:t>
      </w:r>
      <w:r w:rsidR="00376CAB" w:rsidRPr="006450FB">
        <w:rPr>
          <w:rFonts w:asciiTheme="minorHAnsi" w:hAnsiTheme="minorHAnsi" w:cstheme="minorHAnsi"/>
        </w:rPr>
        <w:t xml:space="preserve">since the Commerce Act 1986 was passed, </w:t>
      </w:r>
      <w:r w:rsidR="00855327" w:rsidRPr="006450FB">
        <w:rPr>
          <w:rFonts w:asciiTheme="minorHAnsi" w:hAnsiTheme="minorHAnsi" w:cstheme="minorHAnsi"/>
        </w:rPr>
        <w:t xml:space="preserve">the </w:t>
      </w:r>
      <w:r w:rsidR="00D136D2" w:rsidRPr="006450FB">
        <w:rPr>
          <w:rFonts w:asciiTheme="minorHAnsi" w:hAnsiTheme="minorHAnsi" w:cstheme="minorHAnsi"/>
        </w:rPr>
        <w:t>c</w:t>
      </w:r>
      <w:r w:rsidR="00855327" w:rsidRPr="006450FB">
        <w:rPr>
          <w:rFonts w:asciiTheme="minorHAnsi" w:hAnsiTheme="minorHAnsi" w:cstheme="minorHAnsi"/>
        </w:rPr>
        <w:t>ourts have recognised that public power</w:t>
      </w:r>
      <w:r w:rsidR="00601193" w:rsidRPr="006450FB">
        <w:rPr>
          <w:rFonts w:asciiTheme="minorHAnsi" w:hAnsiTheme="minorHAnsi" w:cstheme="minorHAnsi"/>
        </w:rPr>
        <w:t>s</w:t>
      </w:r>
      <w:r w:rsidR="00E17BBA" w:rsidRPr="006450FB">
        <w:rPr>
          <w:rFonts w:asciiTheme="minorHAnsi" w:hAnsiTheme="minorHAnsi" w:cstheme="minorHAnsi"/>
        </w:rPr>
        <w:t>, and powers with significant public consequences, are</w:t>
      </w:r>
      <w:r w:rsidR="00855327" w:rsidRPr="006450FB">
        <w:rPr>
          <w:rFonts w:asciiTheme="minorHAnsi" w:hAnsiTheme="minorHAnsi" w:cstheme="minorHAnsi"/>
        </w:rPr>
        <w:t xml:space="preserve"> no longer </w:t>
      </w:r>
      <w:r w:rsidR="00601193" w:rsidRPr="006450FB">
        <w:rPr>
          <w:rFonts w:asciiTheme="minorHAnsi" w:hAnsiTheme="minorHAnsi" w:cstheme="minorHAnsi"/>
        </w:rPr>
        <w:t xml:space="preserve">only </w:t>
      </w:r>
      <w:r w:rsidR="009B4EA3" w:rsidRPr="006450FB">
        <w:rPr>
          <w:rFonts w:asciiTheme="minorHAnsi" w:hAnsiTheme="minorHAnsi" w:cstheme="minorHAnsi"/>
        </w:rPr>
        <w:t>exercised</w:t>
      </w:r>
      <w:r w:rsidR="00855327" w:rsidRPr="006450FB">
        <w:rPr>
          <w:rFonts w:asciiTheme="minorHAnsi" w:hAnsiTheme="minorHAnsi" w:cstheme="minorHAnsi"/>
        </w:rPr>
        <w:t xml:space="preserve"> </w:t>
      </w:r>
      <w:r w:rsidR="00902063" w:rsidRPr="006450FB">
        <w:rPr>
          <w:rFonts w:asciiTheme="minorHAnsi" w:hAnsiTheme="minorHAnsi" w:cstheme="minorHAnsi"/>
        </w:rPr>
        <w:t>entities that form part of the public service.</w:t>
      </w:r>
      <w:r w:rsidR="00376CAB" w:rsidRPr="006450FB">
        <w:rPr>
          <w:rStyle w:val="FootnoteReference"/>
          <w:rFonts w:asciiTheme="minorHAnsi" w:hAnsiTheme="minorHAnsi" w:cstheme="minorHAnsi"/>
          <w:sz w:val="24"/>
          <w:szCs w:val="24"/>
        </w:rPr>
        <w:footnoteReference w:id="67"/>
      </w:r>
      <w:r w:rsidR="00902063" w:rsidRPr="006450FB">
        <w:rPr>
          <w:rFonts w:asciiTheme="minorHAnsi" w:hAnsiTheme="minorHAnsi" w:cstheme="minorHAnsi"/>
        </w:rPr>
        <w:t xml:space="preserve"> </w:t>
      </w:r>
      <w:r w:rsidR="008264AB" w:rsidRPr="006450FB">
        <w:rPr>
          <w:rFonts w:asciiTheme="minorHAnsi" w:hAnsiTheme="minorHAnsi" w:cstheme="minorHAnsi"/>
        </w:rPr>
        <w:t>Some</w:t>
      </w:r>
      <w:r w:rsidR="00E17BBA" w:rsidRPr="006450FB">
        <w:rPr>
          <w:rFonts w:asciiTheme="minorHAnsi" w:hAnsiTheme="minorHAnsi" w:cstheme="minorHAnsi"/>
        </w:rPr>
        <w:t xml:space="preserve"> of these decisions will be regulatory in </w:t>
      </w:r>
      <w:r w:rsidR="000D6849" w:rsidRPr="006450FB">
        <w:rPr>
          <w:rFonts w:asciiTheme="minorHAnsi" w:hAnsiTheme="minorHAnsi" w:cstheme="minorHAnsi"/>
        </w:rPr>
        <w:t>character and</w:t>
      </w:r>
      <w:r w:rsidR="009D0AB6" w:rsidRPr="006450FB">
        <w:rPr>
          <w:rFonts w:asciiTheme="minorHAnsi" w:hAnsiTheme="minorHAnsi" w:cstheme="minorHAnsi"/>
        </w:rPr>
        <w:t xml:space="preserve"> have the potential to promote or hinder competition.</w:t>
      </w:r>
      <w:r w:rsidR="008264AB" w:rsidRPr="006450FB">
        <w:rPr>
          <w:rStyle w:val="FootnoteReference"/>
          <w:rFonts w:asciiTheme="minorHAnsi" w:hAnsiTheme="minorHAnsi" w:cstheme="minorHAnsi"/>
          <w:sz w:val="24"/>
          <w:szCs w:val="24"/>
        </w:rPr>
        <w:footnoteReference w:id="68"/>
      </w:r>
    </w:p>
    <w:p w14:paraId="55D012A5" w14:textId="56669F32" w:rsidR="00C92B13" w:rsidRPr="006450FB" w:rsidRDefault="008D55F5" w:rsidP="00ED7DEC">
      <w:pPr>
        <w:pStyle w:val="TextindentedLR"/>
        <w:rPr>
          <w:rFonts w:asciiTheme="minorHAnsi" w:hAnsiTheme="minorHAnsi" w:cstheme="minorHAnsi"/>
          <w:szCs w:val="32"/>
        </w:rPr>
      </w:pPr>
      <w:r w:rsidRPr="006450FB">
        <w:rPr>
          <w:rFonts w:asciiTheme="minorHAnsi" w:hAnsiTheme="minorHAnsi" w:cstheme="minorHAnsi"/>
          <w:szCs w:val="32"/>
        </w:rPr>
        <w:t>In the author</w:t>
      </w:r>
      <w:r w:rsidR="00B914BA" w:rsidRPr="006450FB">
        <w:rPr>
          <w:rFonts w:asciiTheme="minorHAnsi" w:hAnsiTheme="minorHAnsi" w:cstheme="minorHAnsi"/>
          <w:szCs w:val="32"/>
        </w:rPr>
        <w:t>’</w:t>
      </w:r>
      <w:r w:rsidRPr="006450FB">
        <w:rPr>
          <w:rFonts w:asciiTheme="minorHAnsi" w:hAnsiTheme="minorHAnsi" w:cstheme="minorHAnsi"/>
          <w:szCs w:val="32"/>
        </w:rPr>
        <w:t xml:space="preserve">s view, ss 5 and 6 of the Commerce Act ought to be revisited in light of the significant changes that have occurred since </w:t>
      </w:r>
      <w:r w:rsidR="0045259F" w:rsidRPr="006450FB">
        <w:rPr>
          <w:rFonts w:asciiTheme="minorHAnsi" w:hAnsiTheme="minorHAnsi" w:cstheme="minorHAnsi"/>
          <w:szCs w:val="32"/>
        </w:rPr>
        <w:t>1986. This is necessary</w:t>
      </w:r>
      <w:r w:rsidRPr="006450FB">
        <w:rPr>
          <w:rFonts w:asciiTheme="minorHAnsi" w:hAnsiTheme="minorHAnsi" w:cstheme="minorHAnsi"/>
          <w:szCs w:val="32"/>
        </w:rPr>
        <w:t xml:space="preserve"> to ensure th</w:t>
      </w:r>
      <w:r w:rsidR="0045259F" w:rsidRPr="006450FB">
        <w:rPr>
          <w:rFonts w:asciiTheme="minorHAnsi" w:hAnsiTheme="minorHAnsi" w:cstheme="minorHAnsi"/>
          <w:szCs w:val="32"/>
        </w:rPr>
        <w:t>e provision is clear</w:t>
      </w:r>
      <w:r w:rsidR="00B914BA" w:rsidRPr="006450FB">
        <w:rPr>
          <w:rFonts w:asciiTheme="minorHAnsi" w:hAnsiTheme="minorHAnsi" w:cstheme="minorHAnsi"/>
          <w:szCs w:val="32"/>
        </w:rPr>
        <w:t xml:space="preserve"> and its scope is appropriate. </w:t>
      </w:r>
      <w:r w:rsidR="00C1301B" w:rsidRPr="006450FB">
        <w:rPr>
          <w:rFonts w:asciiTheme="minorHAnsi" w:hAnsiTheme="minorHAnsi" w:cstheme="minorHAnsi"/>
          <w:szCs w:val="32"/>
        </w:rPr>
        <w:t>This is for a number of reasons</w:t>
      </w:r>
      <w:r w:rsidR="00147325" w:rsidRPr="006450FB">
        <w:rPr>
          <w:rFonts w:asciiTheme="minorHAnsi" w:hAnsiTheme="minorHAnsi" w:cstheme="minorHAnsi"/>
          <w:szCs w:val="32"/>
        </w:rPr>
        <w:t>.</w:t>
      </w:r>
    </w:p>
    <w:p w14:paraId="32A9A78C" w14:textId="1B5A5788" w:rsidR="00C970F9" w:rsidRPr="006450FB" w:rsidRDefault="00C1301B" w:rsidP="00ED7DEC">
      <w:pPr>
        <w:pStyle w:val="TextindentedLR"/>
        <w:rPr>
          <w:rFonts w:asciiTheme="minorHAnsi" w:hAnsiTheme="minorHAnsi" w:cstheme="minorHAnsi"/>
          <w:szCs w:val="32"/>
        </w:rPr>
      </w:pPr>
      <w:r w:rsidRPr="006450FB">
        <w:rPr>
          <w:rFonts w:asciiTheme="minorHAnsi" w:hAnsiTheme="minorHAnsi" w:cstheme="minorHAnsi"/>
          <w:szCs w:val="32"/>
        </w:rPr>
        <w:t>First, i</w:t>
      </w:r>
      <w:r w:rsidR="004E778D" w:rsidRPr="006450FB">
        <w:rPr>
          <w:rFonts w:asciiTheme="minorHAnsi" w:hAnsiTheme="minorHAnsi" w:cstheme="minorHAnsi"/>
          <w:szCs w:val="32"/>
        </w:rPr>
        <w:t>dentifying who</w:t>
      </w:r>
      <w:r w:rsidR="00824D01" w:rsidRPr="006450FB">
        <w:rPr>
          <w:rFonts w:asciiTheme="minorHAnsi" w:hAnsiTheme="minorHAnsi" w:cstheme="minorHAnsi"/>
          <w:szCs w:val="32"/>
        </w:rPr>
        <w:t xml:space="preserve"> is the Crown is not as straightforward as a competition lawyer might expect</w:t>
      </w:r>
      <w:r w:rsidR="00337C5E" w:rsidRPr="006450FB">
        <w:rPr>
          <w:rFonts w:asciiTheme="minorHAnsi" w:hAnsiTheme="minorHAnsi" w:cstheme="minorHAnsi"/>
          <w:szCs w:val="32"/>
        </w:rPr>
        <w:t>, given the large number of different types of public sector organisation, their differing purposes</w:t>
      </w:r>
      <w:r w:rsidR="003E1972" w:rsidRPr="006450FB">
        <w:rPr>
          <w:rFonts w:asciiTheme="minorHAnsi" w:hAnsiTheme="minorHAnsi" w:cstheme="minorHAnsi"/>
          <w:szCs w:val="32"/>
        </w:rPr>
        <w:t xml:space="preserve"> and statutory frameworks</w:t>
      </w:r>
      <w:r w:rsidR="00337C5E" w:rsidRPr="006450FB">
        <w:rPr>
          <w:rFonts w:asciiTheme="minorHAnsi" w:hAnsiTheme="minorHAnsi" w:cstheme="minorHAnsi"/>
          <w:szCs w:val="32"/>
        </w:rPr>
        <w:t>, and the</w:t>
      </w:r>
      <w:r w:rsidR="003E1972" w:rsidRPr="006450FB">
        <w:rPr>
          <w:rFonts w:asciiTheme="minorHAnsi" w:hAnsiTheme="minorHAnsi" w:cstheme="minorHAnsi"/>
          <w:szCs w:val="32"/>
        </w:rPr>
        <w:t xml:space="preserve"> differing degrees of ministerial control applying to them.</w:t>
      </w:r>
      <w:r w:rsidRPr="006450FB">
        <w:rPr>
          <w:rFonts w:asciiTheme="minorHAnsi" w:hAnsiTheme="minorHAnsi" w:cstheme="minorHAnsi"/>
          <w:szCs w:val="32"/>
        </w:rPr>
        <w:t xml:space="preserve"> T</w:t>
      </w:r>
      <w:r w:rsidR="00A72A9A" w:rsidRPr="006450FB">
        <w:rPr>
          <w:rFonts w:asciiTheme="minorHAnsi" w:hAnsiTheme="minorHAnsi" w:cstheme="minorHAnsi"/>
          <w:szCs w:val="32"/>
        </w:rPr>
        <w:t>he purpose of the provision</w:t>
      </w:r>
      <w:r w:rsidR="00097C4B" w:rsidRPr="006450FB">
        <w:rPr>
          <w:rFonts w:asciiTheme="minorHAnsi" w:hAnsiTheme="minorHAnsi" w:cstheme="minorHAnsi"/>
          <w:szCs w:val="32"/>
        </w:rPr>
        <w:t>s</w:t>
      </w:r>
      <w:r w:rsidR="00A72A9A" w:rsidRPr="006450FB">
        <w:rPr>
          <w:rFonts w:asciiTheme="minorHAnsi" w:hAnsiTheme="minorHAnsi" w:cstheme="minorHAnsi"/>
          <w:szCs w:val="32"/>
        </w:rPr>
        <w:t xml:space="preserve"> does not </w:t>
      </w:r>
      <w:r w:rsidR="00585F6C" w:rsidRPr="006450FB">
        <w:rPr>
          <w:rFonts w:asciiTheme="minorHAnsi" w:hAnsiTheme="minorHAnsi" w:cstheme="minorHAnsi"/>
          <w:szCs w:val="32"/>
        </w:rPr>
        <w:t xml:space="preserve">materially </w:t>
      </w:r>
      <w:r w:rsidR="00A72A9A" w:rsidRPr="006450FB">
        <w:rPr>
          <w:rFonts w:asciiTheme="minorHAnsi" w:hAnsiTheme="minorHAnsi" w:cstheme="minorHAnsi"/>
          <w:szCs w:val="32"/>
        </w:rPr>
        <w:t>assist is identifying</w:t>
      </w:r>
      <w:r w:rsidR="002E4D21" w:rsidRPr="006450FB">
        <w:rPr>
          <w:rFonts w:asciiTheme="minorHAnsi" w:hAnsiTheme="minorHAnsi" w:cstheme="minorHAnsi"/>
          <w:szCs w:val="32"/>
        </w:rPr>
        <w:t>, in the face of an increasingly complex system of public organisations,</w:t>
      </w:r>
      <w:r w:rsidR="00A72A9A" w:rsidRPr="006450FB">
        <w:rPr>
          <w:rFonts w:asciiTheme="minorHAnsi" w:hAnsiTheme="minorHAnsi" w:cstheme="minorHAnsi"/>
          <w:szCs w:val="32"/>
        </w:rPr>
        <w:t xml:space="preserve"> who is intended </w:t>
      </w:r>
      <w:r w:rsidR="00B1396A" w:rsidRPr="006450FB">
        <w:rPr>
          <w:rFonts w:asciiTheme="minorHAnsi" w:hAnsiTheme="minorHAnsi" w:cstheme="minorHAnsi"/>
          <w:szCs w:val="32"/>
        </w:rPr>
        <w:t xml:space="preserve">to be </w:t>
      </w:r>
      <w:r w:rsidR="00C20E99" w:rsidRPr="006450FB">
        <w:rPr>
          <w:rFonts w:asciiTheme="minorHAnsi" w:hAnsiTheme="minorHAnsi" w:cstheme="minorHAnsi"/>
          <w:szCs w:val="32"/>
        </w:rPr>
        <w:t>covered by the provision and who is</w:t>
      </w:r>
      <w:r w:rsidR="00585F6C" w:rsidRPr="006450FB">
        <w:rPr>
          <w:rFonts w:asciiTheme="minorHAnsi" w:hAnsiTheme="minorHAnsi" w:cstheme="minorHAnsi"/>
          <w:szCs w:val="32"/>
        </w:rPr>
        <w:t xml:space="preserve"> not.</w:t>
      </w:r>
    </w:p>
    <w:p w14:paraId="426DD999" w14:textId="77B85BB7" w:rsidR="00147325" w:rsidRPr="006450FB" w:rsidRDefault="00F96459" w:rsidP="00ED7DEC">
      <w:pPr>
        <w:pStyle w:val="TextindentedLR"/>
        <w:rPr>
          <w:rFonts w:asciiTheme="minorHAnsi" w:hAnsiTheme="minorHAnsi" w:cstheme="minorHAnsi"/>
          <w:szCs w:val="32"/>
        </w:rPr>
      </w:pPr>
      <w:r w:rsidRPr="006450FB">
        <w:rPr>
          <w:rFonts w:asciiTheme="minorHAnsi" w:hAnsiTheme="minorHAnsi" w:cstheme="minorHAnsi"/>
          <w:szCs w:val="32"/>
        </w:rPr>
        <w:t>Second, i</w:t>
      </w:r>
      <w:r w:rsidR="00F43A04" w:rsidRPr="006450FB">
        <w:rPr>
          <w:rFonts w:asciiTheme="minorHAnsi" w:hAnsiTheme="minorHAnsi" w:cstheme="minorHAnsi"/>
          <w:szCs w:val="32"/>
        </w:rPr>
        <w:t>t may be that</w:t>
      </w:r>
      <w:r w:rsidR="00F736C0" w:rsidRPr="006450FB">
        <w:rPr>
          <w:rFonts w:asciiTheme="minorHAnsi" w:hAnsiTheme="minorHAnsi" w:cstheme="minorHAnsi"/>
          <w:szCs w:val="32"/>
        </w:rPr>
        <w:t xml:space="preserve"> this limb of</w:t>
      </w:r>
      <w:r w:rsidR="00F43A04" w:rsidRPr="006450FB">
        <w:rPr>
          <w:rFonts w:asciiTheme="minorHAnsi" w:hAnsiTheme="minorHAnsi" w:cstheme="minorHAnsi"/>
          <w:szCs w:val="32"/>
        </w:rPr>
        <w:t xml:space="preserve"> the Crown exception is narrower than has been assumed</w:t>
      </w:r>
      <w:r w:rsidR="00AD40DC" w:rsidRPr="006450FB">
        <w:rPr>
          <w:rFonts w:asciiTheme="minorHAnsi" w:hAnsiTheme="minorHAnsi" w:cstheme="minorHAnsi"/>
          <w:szCs w:val="32"/>
        </w:rPr>
        <w:t>.</w:t>
      </w:r>
      <w:r w:rsidR="001112A6" w:rsidRPr="006450FB">
        <w:rPr>
          <w:rFonts w:asciiTheme="minorHAnsi" w:hAnsiTheme="minorHAnsi" w:cstheme="minorHAnsi"/>
          <w:szCs w:val="32"/>
        </w:rPr>
        <w:t xml:space="preserve"> </w:t>
      </w:r>
      <w:r w:rsidR="00E67D36" w:rsidRPr="006450FB">
        <w:rPr>
          <w:rFonts w:asciiTheme="minorHAnsi" w:hAnsiTheme="minorHAnsi" w:cstheme="minorHAnsi"/>
          <w:szCs w:val="32"/>
        </w:rPr>
        <w:t>Decisions in this area to date have focussed on the “in trade” aspect of the definition</w:t>
      </w:r>
      <w:r w:rsidR="00F736C0" w:rsidRPr="006450FB">
        <w:rPr>
          <w:rFonts w:asciiTheme="minorHAnsi" w:hAnsiTheme="minorHAnsi" w:cstheme="minorHAnsi"/>
          <w:szCs w:val="32"/>
        </w:rPr>
        <w:t>. B</w:t>
      </w:r>
      <w:r w:rsidR="00E67D36" w:rsidRPr="006450FB">
        <w:rPr>
          <w:rFonts w:asciiTheme="minorHAnsi" w:hAnsiTheme="minorHAnsi" w:cstheme="minorHAnsi"/>
          <w:szCs w:val="32"/>
        </w:rPr>
        <w:t>ut b</w:t>
      </w:r>
      <w:r w:rsidR="00DF6A75" w:rsidRPr="006450FB">
        <w:rPr>
          <w:rFonts w:asciiTheme="minorHAnsi" w:hAnsiTheme="minorHAnsi" w:cstheme="minorHAnsi"/>
          <w:szCs w:val="32"/>
        </w:rPr>
        <w:t xml:space="preserve">oth </w:t>
      </w:r>
      <w:r w:rsidR="00DF6A75" w:rsidRPr="006450FB">
        <w:rPr>
          <w:rFonts w:asciiTheme="minorHAnsi" w:hAnsiTheme="minorHAnsi" w:cstheme="minorHAnsi"/>
          <w:i/>
          <w:iCs/>
          <w:szCs w:val="32"/>
        </w:rPr>
        <w:t>Stafford</w:t>
      </w:r>
      <w:r w:rsidR="00DF6A75" w:rsidRPr="006450FB">
        <w:rPr>
          <w:rFonts w:asciiTheme="minorHAnsi" w:hAnsiTheme="minorHAnsi" w:cstheme="minorHAnsi"/>
          <w:szCs w:val="32"/>
        </w:rPr>
        <w:t xml:space="preserve"> and </w:t>
      </w:r>
      <w:r w:rsidR="00DF6A75" w:rsidRPr="006450FB">
        <w:rPr>
          <w:rFonts w:asciiTheme="minorHAnsi" w:hAnsiTheme="minorHAnsi" w:cstheme="minorHAnsi"/>
          <w:i/>
          <w:iCs/>
          <w:szCs w:val="32"/>
        </w:rPr>
        <w:t>Apple</w:t>
      </w:r>
      <w:r w:rsidR="008A7592" w:rsidRPr="006450FB">
        <w:rPr>
          <w:rFonts w:asciiTheme="minorHAnsi" w:hAnsiTheme="minorHAnsi" w:cstheme="minorHAnsi"/>
          <w:i/>
          <w:iCs/>
          <w:szCs w:val="32"/>
        </w:rPr>
        <w:t xml:space="preserve"> F</w:t>
      </w:r>
      <w:r w:rsidR="00DF6A75" w:rsidRPr="006450FB">
        <w:rPr>
          <w:rFonts w:asciiTheme="minorHAnsi" w:hAnsiTheme="minorHAnsi" w:cstheme="minorHAnsi"/>
          <w:i/>
          <w:iCs/>
          <w:szCs w:val="32"/>
        </w:rPr>
        <w:t>ields</w:t>
      </w:r>
      <w:r w:rsidR="00DF6A75" w:rsidRPr="006450FB">
        <w:rPr>
          <w:rFonts w:asciiTheme="minorHAnsi" w:hAnsiTheme="minorHAnsi" w:cstheme="minorHAnsi"/>
          <w:szCs w:val="32"/>
        </w:rPr>
        <w:t xml:space="preserve"> suggest that the appellate </w:t>
      </w:r>
      <w:r w:rsidR="001F0BBF" w:rsidRPr="006450FB">
        <w:rPr>
          <w:rFonts w:asciiTheme="minorHAnsi" w:hAnsiTheme="minorHAnsi" w:cstheme="minorHAnsi"/>
          <w:szCs w:val="32"/>
        </w:rPr>
        <w:t>c</w:t>
      </w:r>
      <w:r w:rsidR="00F43A04" w:rsidRPr="006450FB">
        <w:rPr>
          <w:rFonts w:asciiTheme="minorHAnsi" w:hAnsiTheme="minorHAnsi" w:cstheme="minorHAnsi"/>
          <w:szCs w:val="32"/>
        </w:rPr>
        <w:t xml:space="preserve">ourts </w:t>
      </w:r>
      <w:r w:rsidR="00435E7B" w:rsidRPr="006450FB">
        <w:rPr>
          <w:rFonts w:asciiTheme="minorHAnsi" w:hAnsiTheme="minorHAnsi" w:cstheme="minorHAnsi"/>
          <w:szCs w:val="32"/>
        </w:rPr>
        <w:t>may</w:t>
      </w:r>
      <w:r w:rsidR="00DF6A75" w:rsidRPr="006450FB">
        <w:rPr>
          <w:rFonts w:asciiTheme="minorHAnsi" w:hAnsiTheme="minorHAnsi" w:cstheme="minorHAnsi"/>
          <w:szCs w:val="32"/>
        </w:rPr>
        <w:t xml:space="preserve"> </w:t>
      </w:r>
      <w:r w:rsidR="00AD40DC" w:rsidRPr="006450FB">
        <w:rPr>
          <w:rFonts w:asciiTheme="minorHAnsi" w:hAnsiTheme="minorHAnsi" w:cstheme="minorHAnsi"/>
          <w:szCs w:val="32"/>
        </w:rPr>
        <w:t>interpret</w:t>
      </w:r>
      <w:r w:rsidR="00E85D54" w:rsidRPr="006450FB">
        <w:rPr>
          <w:rFonts w:asciiTheme="minorHAnsi" w:hAnsiTheme="minorHAnsi" w:cstheme="minorHAnsi"/>
          <w:szCs w:val="32"/>
        </w:rPr>
        <w:t xml:space="preserve"> </w:t>
      </w:r>
      <w:r w:rsidR="00E67D36" w:rsidRPr="006450FB">
        <w:rPr>
          <w:rFonts w:asciiTheme="minorHAnsi" w:hAnsiTheme="minorHAnsi" w:cstheme="minorHAnsi"/>
          <w:szCs w:val="32"/>
        </w:rPr>
        <w:t>the</w:t>
      </w:r>
      <w:r w:rsidR="00E85D54" w:rsidRPr="006450FB">
        <w:rPr>
          <w:rFonts w:asciiTheme="minorHAnsi" w:hAnsiTheme="minorHAnsi" w:cstheme="minorHAnsi"/>
          <w:szCs w:val="32"/>
        </w:rPr>
        <w:t xml:space="preserve"> excep</w:t>
      </w:r>
      <w:r w:rsidR="005015E2" w:rsidRPr="006450FB">
        <w:rPr>
          <w:rFonts w:asciiTheme="minorHAnsi" w:hAnsiTheme="minorHAnsi" w:cstheme="minorHAnsi"/>
          <w:szCs w:val="32"/>
        </w:rPr>
        <w:t xml:space="preserve">tion narrowly. This would be consistent </w:t>
      </w:r>
      <w:r w:rsidR="001F0BBF" w:rsidRPr="006450FB">
        <w:rPr>
          <w:rFonts w:asciiTheme="minorHAnsi" w:hAnsiTheme="minorHAnsi" w:cstheme="minorHAnsi"/>
          <w:szCs w:val="32"/>
        </w:rPr>
        <w:t>with</w:t>
      </w:r>
      <w:r w:rsidR="005015E2" w:rsidRPr="006450FB">
        <w:rPr>
          <w:rFonts w:asciiTheme="minorHAnsi" w:hAnsiTheme="minorHAnsi" w:cstheme="minorHAnsi"/>
          <w:szCs w:val="32"/>
        </w:rPr>
        <w:t xml:space="preserve"> OECD guidance </w:t>
      </w:r>
      <w:r w:rsidR="00323954" w:rsidRPr="006450FB">
        <w:rPr>
          <w:rFonts w:asciiTheme="minorHAnsi" w:hAnsiTheme="minorHAnsi" w:cstheme="minorHAnsi"/>
          <w:szCs w:val="32"/>
        </w:rPr>
        <w:t>that recommends</w:t>
      </w:r>
      <w:r w:rsidR="005015E2" w:rsidRPr="006450FB">
        <w:rPr>
          <w:rFonts w:asciiTheme="minorHAnsi" w:hAnsiTheme="minorHAnsi" w:cstheme="minorHAnsi"/>
          <w:szCs w:val="32"/>
        </w:rPr>
        <w:t xml:space="preserve"> exceptions to competition law</w:t>
      </w:r>
      <w:r w:rsidR="00323954" w:rsidRPr="006450FB">
        <w:rPr>
          <w:rFonts w:asciiTheme="minorHAnsi" w:hAnsiTheme="minorHAnsi" w:cstheme="minorHAnsi"/>
          <w:szCs w:val="32"/>
        </w:rPr>
        <w:t xml:space="preserve"> are interpreted narrowly</w:t>
      </w:r>
      <w:r w:rsidR="005015E2" w:rsidRPr="006450FB">
        <w:rPr>
          <w:rFonts w:asciiTheme="minorHAnsi" w:hAnsiTheme="minorHAnsi" w:cstheme="minorHAnsi"/>
          <w:szCs w:val="32"/>
        </w:rPr>
        <w:t>.</w:t>
      </w:r>
      <w:r w:rsidR="005015E2" w:rsidRPr="006450FB">
        <w:rPr>
          <w:rStyle w:val="FootnoteReference"/>
          <w:rFonts w:asciiTheme="minorHAnsi" w:hAnsiTheme="minorHAnsi" w:cstheme="minorHAnsi"/>
          <w:sz w:val="24"/>
          <w:szCs w:val="32"/>
        </w:rPr>
        <w:footnoteReference w:id="69"/>
      </w:r>
    </w:p>
    <w:p w14:paraId="09862593" w14:textId="7631D852" w:rsidR="00147325" w:rsidRPr="006450FB" w:rsidRDefault="008830AD" w:rsidP="00ED7DEC">
      <w:pPr>
        <w:pStyle w:val="TextindentedLR"/>
        <w:rPr>
          <w:rFonts w:asciiTheme="minorHAnsi" w:hAnsiTheme="minorHAnsi" w:cstheme="minorHAnsi"/>
          <w:szCs w:val="32"/>
        </w:rPr>
      </w:pPr>
      <w:r w:rsidRPr="006450FB">
        <w:rPr>
          <w:rFonts w:asciiTheme="minorHAnsi" w:hAnsiTheme="minorHAnsi" w:cstheme="minorHAnsi"/>
          <w:szCs w:val="32"/>
        </w:rPr>
        <w:t>These issues may be addressed by ad</w:t>
      </w:r>
      <w:r w:rsidR="00A84FE8" w:rsidRPr="006450FB">
        <w:rPr>
          <w:rFonts w:asciiTheme="minorHAnsi" w:hAnsiTheme="minorHAnsi" w:cstheme="minorHAnsi"/>
          <w:szCs w:val="32"/>
        </w:rPr>
        <w:t>a</w:t>
      </w:r>
      <w:r w:rsidRPr="006450FB">
        <w:rPr>
          <w:rFonts w:asciiTheme="minorHAnsi" w:hAnsiTheme="minorHAnsi" w:cstheme="minorHAnsi"/>
          <w:szCs w:val="32"/>
        </w:rPr>
        <w:t>pting</w:t>
      </w:r>
      <w:r w:rsidR="00A84FE8" w:rsidRPr="006450FB">
        <w:rPr>
          <w:rFonts w:asciiTheme="minorHAnsi" w:hAnsiTheme="minorHAnsi" w:cstheme="minorHAnsi"/>
          <w:szCs w:val="32"/>
        </w:rPr>
        <w:t xml:space="preserve"> </w:t>
      </w:r>
      <w:r w:rsidRPr="006450FB">
        <w:rPr>
          <w:rFonts w:asciiTheme="minorHAnsi" w:hAnsiTheme="minorHAnsi" w:cstheme="minorHAnsi"/>
          <w:szCs w:val="32"/>
        </w:rPr>
        <w:t xml:space="preserve">the definition of </w:t>
      </w:r>
      <w:r w:rsidR="00D136D2" w:rsidRPr="006450FB">
        <w:rPr>
          <w:rFonts w:asciiTheme="minorHAnsi" w:hAnsiTheme="minorHAnsi" w:cstheme="minorHAnsi"/>
          <w:szCs w:val="32"/>
        </w:rPr>
        <w:t>“</w:t>
      </w:r>
      <w:r w:rsidRPr="006450FB">
        <w:rPr>
          <w:rFonts w:asciiTheme="minorHAnsi" w:hAnsiTheme="minorHAnsi" w:cstheme="minorHAnsi"/>
          <w:szCs w:val="32"/>
        </w:rPr>
        <w:t>Crown organisation</w:t>
      </w:r>
      <w:r w:rsidR="00D136D2" w:rsidRPr="006450FB">
        <w:rPr>
          <w:rFonts w:asciiTheme="minorHAnsi" w:hAnsiTheme="minorHAnsi" w:cstheme="minorHAnsi"/>
          <w:szCs w:val="32"/>
        </w:rPr>
        <w:t>”</w:t>
      </w:r>
      <w:r w:rsidRPr="006450FB">
        <w:rPr>
          <w:rFonts w:asciiTheme="minorHAnsi" w:hAnsiTheme="minorHAnsi" w:cstheme="minorHAnsi"/>
          <w:szCs w:val="32"/>
        </w:rPr>
        <w:t xml:space="preserve"> used in the </w:t>
      </w:r>
      <w:r w:rsidR="008D63FA" w:rsidRPr="006450FB">
        <w:rPr>
          <w:rFonts w:asciiTheme="minorHAnsi" w:hAnsiTheme="minorHAnsi" w:cstheme="minorHAnsi"/>
          <w:szCs w:val="32"/>
        </w:rPr>
        <w:t>Crown Organisations (Criminal Liability) Act 2002.</w:t>
      </w:r>
      <w:r w:rsidR="00BE7B67" w:rsidRPr="006450FB">
        <w:rPr>
          <w:rFonts w:asciiTheme="minorHAnsi" w:hAnsiTheme="minorHAnsi" w:cstheme="minorHAnsi"/>
          <w:szCs w:val="32"/>
        </w:rPr>
        <w:t xml:space="preserve"> The definition of Crown organisation includes </w:t>
      </w:r>
      <w:r w:rsidR="00493603" w:rsidRPr="006450FB">
        <w:rPr>
          <w:rFonts w:asciiTheme="minorHAnsi" w:hAnsiTheme="minorHAnsi" w:cstheme="minorHAnsi"/>
          <w:szCs w:val="32"/>
        </w:rPr>
        <w:t>the various types of entities under the Public Service Act 2020, the Crown Entities Act 2004 and the</w:t>
      </w:r>
      <w:r w:rsidR="00D22235" w:rsidRPr="006450FB">
        <w:rPr>
          <w:rFonts w:asciiTheme="minorHAnsi" w:hAnsiTheme="minorHAnsi" w:cstheme="minorHAnsi"/>
          <w:szCs w:val="32"/>
        </w:rPr>
        <w:t xml:space="preserve"> Public Finance Act 1989, together with a defined list of “government-related organisation</w:t>
      </w:r>
      <w:r w:rsidR="0047260B" w:rsidRPr="006450FB">
        <w:rPr>
          <w:rFonts w:asciiTheme="minorHAnsi" w:hAnsiTheme="minorHAnsi" w:cstheme="minorHAnsi"/>
          <w:szCs w:val="32"/>
        </w:rPr>
        <w:t>[</w:t>
      </w:r>
      <w:r w:rsidR="00D22235" w:rsidRPr="006450FB">
        <w:rPr>
          <w:rFonts w:asciiTheme="minorHAnsi" w:hAnsiTheme="minorHAnsi" w:cstheme="minorHAnsi"/>
          <w:szCs w:val="32"/>
        </w:rPr>
        <w:t>s</w:t>
      </w:r>
      <w:r w:rsidR="0047260B" w:rsidRPr="006450FB">
        <w:rPr>
          <w:rFonts w:asciiTheme="minorHAnsi" w:hAnsiTheme="minorHAnsi" w:cstheme="minorHAnsi"/>
          <w:szCs w:val="32"/>
        </w:rPr>
        <w:t>]</w:t>
      </w:r>
      <w:r w:rsidR="00D22235" w:rsidRPr="006450FB">
        <w:rPr>
          <w:rFonts w:asciiTheme="minorHAnsi" w:hAnsiTheme="minorHAnsi" w:cstheme="minorHAnsi"/>
          <w:szCs w:val="32"/>
        </w:rPr>
        <w:t>”.</w:t>
      </w:r>
      <w:r w:rsidR="00D22235" w:rsidRPr="006450FB">
        <w:rPr>
          <w:rStyle w:val="FootnoteReference"/>
          <w:rFonts w:asciiTheme="minorHAnsi" w:hAnsiTheme="minorHAnsi" w:cstheme="minorHAnsi"/>
          <w:sz w:val="24"/>
          <w:szCs w:val="32"/>
        </w:rPr>
        <w:footnoteReference w:id="70"/>
      </w:r>
      <w:r w:rsidR="00DD0F6B" w:rsidRPr="006450FB">
        <w:rPr>
          <w:rFonts w:asciiTheme="minorHAnsi" w:hAnsiTheme="minorHAnsi" w:cstheme="minorHAnsi"/>
          <w:szCs w:val="32"/>
        </w:rPr>
        <w:t xml:space="preserve"> </w:t>
      </w:r>
      <w:r w:rsidR="003A5B8C" w:rsidRPr="006450FB">
        <w:rPr>
          <w:rFonts w:asciiTheme="minorHAnsi" w:hAnsiTheme="minorHAnsi" w:cstheme="minorHAnsi"/>
          <w:szCs w:val="32"/>
        </w:rPr>
        <w:t>This</w:t>
      </w:r>
      <w:r w:rsidR="00335705" w:rsidRPr="006450FB">
        <w:rPr>
          <w:rFonts w:asciiTheme="minorHAnsi" w:hAnsiTheme="minorHAnsi" w:cstheme="minorHAnsi"/>
          <w:szCs w:val="32"/>
        </w:rPr>
        <w:t xml:space="preserve"> provision is clear, c</w:t>
      </w:r>
      <w:r w:rsidR="00A84FE8" w:rsidRPr="006450FB">
        <w:rPr>
          <w:rFonts w:asciiTheme="minorHAnsi" w:hAnsiTheme="minorHAnsi" w:cstheme="minorHAnsi"/>
          <w:szCs w:val="32"/>
        </w:rPr>
        <w:t>over</w:t>
      </w:r>
      <w:r w:rsidR="00335705" w:rsidRPr="006450FB">
        <w:rPr>
          <w:rFonts w:asciiTheme="minorHAnsi" w:hAnsiTheme="minorHAnsi" w:cstheme="minorHAnsi"/>
          <w:szCs w:val="32"/>
        </w:rPr>
        <w:t>s</w:t>
      </w:r>
      <w:r w:rsidR="00A84FE8" w:rsidRPr="006450FB">
        <w:rPr>
          <w:rFonts w:asciiTheme="minorHAnsi" w:hAnsiTheme="minorHAnsi" w:cstheme="minorHAnsi"/>
          <w:szCs w:val="32"/>
        </w:rPr>
        <w:t xml:space="preserve"> </w:t>
      </w:r>
      <w:r w:rsidR="00335705" w:rsidRPr="006450FB">
        <w:rPr>
          <w:rFonts w:asciiTheme="minorHAnsi" w:hAnsiTheme="minorHAnsi" w:cstheme="minorHAnsi"/>
          <w:szCs w:val="32"/>
        </w:rPr>
        <w:t>the v</w:t>
      </w:r>
      <w:r w:rsidR="00A84FE8" w:rsidRPr="006450FB">
        <w:rPr>
          <w:rFonts w:asciiTheme="minorHAnsi" w:hAnsiTheme="minorHAnsi" w:cstheme="minorHAnsi"/>
          <w:szCs w:val="32"/>
        </w:rPr>
        <w:t>ast majority of public organisations</w:t>
      </w:r>
      <w:r w:rsidR="00335705" w:rsidRPr="006450FB">
        <w:rPr>
          <w:rFonts w:asciiTheme="minorHAnsi" w:hAnsiTheme="minorHAnsi" w:cstheme="minorHAnsi"/>
          <w:szCs w:val="32"/>
        </w:rPr>
        <w:t>, and could be readily adapted to include other organisations not covered by it</w:t>
      </w:r>
      <w:r w:rsidR="003A5B8C" w:rsidRPr="006450FB">
        <w:rPr>
          <w:rFonts w:asciiTheme="minorHAnsi" w:hAnsiTheme="minorHAnsi" w:cstheme="minorHAnsi"/>
          <w:szCs w:val="32"/>
        </w:rPr>
        <w:t>.</w:t>
      </w:r>
      <w:r w:rsidR="00335705" w:rsidRPr="006450FB">
        <w:rPr>
          <w:rStyle w:val="FootnoteReference"/>
          <w:rFonts w:asciiTheme="minorHAnsi" w:hAnsiTheme="minorHAnsi" w:cstheme="minorHAnsi"/>
          <w:sz w:val="24"/>
          <w:szCs w:val="32"/>
        </w:rPr>
        <w:footnoteReference w:id="71"/>
      </w:r>
    </w:p>
    <w:p w14:paraId="26CED3D0" w14:textId="6A62C387" w:rsidR="00147325" w:rsidRPr="006450FB" w:rsidRDefault="008D63FA" w:rsidP="00ED7DEC">
      <w:pPr>
        <w:pStyle w:val="TextindentedLR"/>
        <w:rPr>
          <w:rFonts w:asciiTheme="minorHAnsi" w:hAnsiTheme="minorHAnsi" w:cstheme="minorHAnsi"/>
          <w:szCs w:val="32"/>
        </w:rPr>
      </w:pPr>
      <w:r w:rsidRPr="006450FB">
        <w:rPr>
          <w:rFonts w:asciiTheme="minorHAnsi" w:hAnsiTheme="minorHAnsi" w:cstheme="minorHAnsi"/>
          <w:szCs w:val="32"/>
        </w:rPr>
        <w:t>There</w:t>
      </w:r>
      <w:r w:rsidR="00854440" w:rsidRPr="006450FB">
        <w:rPr>
          <w:rFonts w:asciiTheme="minorHAnsi" w:hAnsiTheme="minorHAnsi" w:cstheme="minorHAnsi"/>
          <w:szCs w:val="32"/>
        </w:rPr>
        <w:t xml:space="preserve"> is</w:t>
      </w:r>
      <w:r w:rsidRPr="006450FB">
        <w:rPr>
          <w:rFonts w:asciiTheme="minorHAnsi" w:hAnsiTheme="minorHAnsi" w:cstheme="minorHAnsi"/>
          <w:szCs w:val="32"/>
        </w:rPr>
        <w:t xml:space="preserve"> a thi</w:t>
      </w:r>
      <w:r w:rsidR="00B73DF3" w:rsidRPr="006450FB">
        <w:rPr>
          <w:rFonts w:asciiTheme="minorHAnsi" w:hAnsiTheme="minorHAnsi" w:cstheme="minorHAnsi"/>
          <w:szCs w:val="32"/>
        </w:rPr>
        <w:t>rd issue, however, that would remain unaddressed</w:t>
      </w:r>
      <w:r w:rsidR="00A84FE8" w:rsidRPr="006450FB">
        <w:rPr>
          <w:rFonts w:asciiTheme="minorHAnsi" w:hAnsiTheme="minorHAnsi" w:cstheme="minorHAnsi"/>
          <w:szCs w:val="32"/>
        </w:rPr>
        <w:t xml:space="preserve"> </w:t>
      </w:r>
      <w:r w:rsidR="00D666BA" w:rsidRPr="006450FB">
        <w:rPr>
          <w:rFonts w:asciiTheme="minorHAnsi" w:hAnsiTheme="minorHAnsi" w:cstheme="minorHAnsi"/>
          <w:szCs w:val="32"/>
        </w:rPr>
        <w:t>by</w:t>
      </w:r>
      <w:r w:rsidR="00A84FE8" w:rsidRPr="006450FB">
        <w:rPr>
          <w:rFonts w:asciiTheme="minorHAnsi" w:hAnsiTheme="minorHAnsi" w:cstheme="minorHAnsi"/>
          <w:szCs w:val="32"/>
        </w:rPr>
        <w:t xml:space="preserve"> such a reform</w:t>
      </w:r>
      <w:r w:rsidR="00B73DF3" w:rsidRPr="006450FB">
        <w:rPr>
          <w:rFonts w:asciiTheme="minorHAnsi" w:hAnsiTheme="minorHAnsi" w:cstheme="minorHAnsi"/>
          <w:szCs w:val="32"/>
        </w:rPr>
        <w:t>. C</w:t>
      </w:r>
      <w:r w:rsidR="00CE1E0B" w:rsidRPr="006450FB">
        <w:rPr>
          <w:rFonts w:asciiTheme="minorHAnsi" w:hAnsiTheme="minorHAnsi" w:cstheme="minorHAnsi"/>
          <w:szCs w:val="32"/>
        </w:rPr>
        <w:t xml:space="preserve">ompared with the position in 1986, </w:t>
      </w:r>
      <w:r w:rsidR="00070ACF" w:rsidRPr="006450FB">
        <w:rPr>
          <w:rFonts w:asciiTheme="minorHAnsi" w:hAnsiTheme="minorHAnsi" w:cstheme="minorHAnsi"/>
          <w:szCs w:val="32"/>
        </w:rPr>
        <w:t xml:space="preserve">whether an organisation is or is not part of the Crown </w:t>
      </w:r>
      <w:r w:rsidR="00F27796" w:rsidRPr="006450FB">
        <w:rPr>
          <w:rFonts w:asciiTheme="minorHAnsi" w:hAnsiTheme="minorHAnsi" w:cstheme="minorHAnsi"/>
          <w:szCs w:val="32"/>
        </w:rPr>
        <w:t xml:space="preserve">is a </w:t>
      </w:r>
      <w:r w:rsidR="008D0B0E" w:rsidRPr="006450FB">
        <w:rPr>
          <w:rFonts w:asciiTheme="minorHAnsi" w:hAnsiTheme="minorHAnsi" w:cstheme="minorHAnsi"/>
          <w:szCs w:val="32"/>
        </w:rPr>
        <w:t xml:space="preserve">less </w:t>
      </w:r>
      <w:r w:rsidR="00F27796" w:rsidRPr="006450FB">
        <w:rPr>
          <w:rFonts w:asciiTheme="minorHAnsi" w:hAnsiTheme="minorHAnsi" w:cstheme="minorHAnsi"/>
          <w:szCs w:val="32"/>
        </w:rPr>
        <w:t xml:space="preserve">useful predictor of whether it is exercising a public </w:t>
      </w:r>
      <w:r w:rsidR="00415F3B" w:rsidRPr="006450FB">
        <w:rPr>
          <w:rFonts w:asciiTheme="minorHAnsi" w:hAnsiTheme="minorHAnsi" w:cstheme="minorHAnsi"/>
          <w:szCs w:val="32"/>
        </w:rPr>
        <w:t>power. P</w:t>
      </w:r>
      <w:r w:rsidR="00C970F9" w:rsidRPr="006450FB">
        <w:rPr>
          <w:rFonts w:asciiTheme="minorHAnsi" w:hAnsiTheme="minorHAnsi" w:cstheme="minorHAnsi"/>
          <w:szCs w:val="32"/>
        </w:rPr>
        <w:t>roviding an ex</w:t>
      </w:r>
      <w:r w:rsidR="009B4EA3" w:rsidRPr="006450FB">
        <w:rPr>
          <w:rFonts w:asciiTheme="minorHAnsi" w:hAnsiTheme="minorHAnsi" w:cstheme="minorHAnsi"/>
          <w:szCs w:val="32"/>
        </w:rPr>
        <w:t>c</w:t>
      </w:r>
      <w:r w:rsidR="00C970F9" w:rsidRPr="006450FB">
        <w:rPr>
          <w:rFonts w:asciiTheme="minorHAnsi" w:hAnsiTheme="minorHAnsi" w:cstheme="minorHAnsi"/>
          <w:szCs w:val="32"/>
        </w:rPr>
        <w:t>eption to organisations</w:t>
      </w:r>
      <w:r w:rsidR="00415F3B" w:rsidRPr="006450FB">
        <w:rPr>
          <w:rFonts w:asciiTheme="minorHAnsi" w:hAnsiTheme="minorHAnsi" w:cstheme="minorHAnsi"/>
          <w:szCs w:val="32"/>
        </w:rPr>
        <w:t xml:space="preserve"> </w:t>
      </w:r>
      <w:r w:rsidR="004274B8" w:rsidRPr="006450FB">
        <w:rPr>
          <w:rFonts w:asciiTheme="minorHAnsi" w:hAnsiTheme="minorHAnsi" w:cstheme="minorHAnsi"/>
          <w:szCs w:val="32"/>
        </w:rPr>
        <w:t xml:space="preserve">on the basis of whether they meet the definition of Crown has the potential to </w:t>
      </w:r>
      <w:r w:rsidR="00A87CEB" w:rsidRPr="006450FB">
        <w:rPr>
          <w:rFonts w:asciiTheme="minorHAnsi" w:hAnsiTheme="minorHAnsi" w:cstheme="minorHAnsi"/>
          <w:szCs w:val="32"/>
        </w:rPr>
        <w:t xml:space="preserve">exclude bodies who exercise </w:t>
      </w:r>
      <w:r w:rsidR="00DD4368" w:rsidRPr="006450FB">
        <w:rPr>
          <w:rFonts w:asciiTheme="minorHAnsi" w:hAnsiTheme="minorHAnsi" w:cstheme="minorHAnsi"/>
          <w:szCs w:val="32"/>
        </w:rPr>
        <w:t xml:space="preserve">public functions </w:t>
      </w:r>
      <w:r w:rsidR="00D86915" w:rsidRPr="006450FB">
        <w:rPr>
          <w:rFonts w:asciiTheme="minorHAnsi" w:hAnsiTheme="minorHAnsi" w:cstheme="minorHAnsi"/>
          <w:szCs w:val="32"/>
        </w:rPr>
        <w:t>in the public interest.</w:t>
      </w:r>
      <w:r w:rsidR="006F53C0" w:rsidRPr="006450FB">
        <w:rPr>
          <w:rFonts w:asciiTheme="minorHAnsi" w:hAnsiTheme="minorHAnsi" w:cstheme="minorHAnsi"/>
          <w:szCs w:val="32"/>
        </w:rPr>
        <w:t xml:space="preserve"> </w:t>
      </w:r>
      <w:r w:rsidR="00854440" w:rsidRPr="006450FB">
        <w:rPr>
          <w:rFonts w:asciiTheme="minorHAnsi" w:hAnsiTheme="minorHAnsi" w:cstheme="minorHAnsi"/>
          <w:szCs w:val="32"/>
        </w:rPr>
        <w:t xml:space="preserve">It is likely that such conduct could be authorised by the Commerce </w:t>
      </w:r>
      <w:r w:rsidR="00437848" w:rsidRPr="006450FB">
        <w:rPr>
          <w:rFonts w:asciiTheme="minorHAnsi" w:hAnsiTheme="minorHAnsi" w:cstheme="minorHAnsi"/>
          <w:szCs w:val="32"/>
        </w:rPr>
        <w:t>Commission if</w:t>
      </w:r>
      <w:r w:rsidR="00854440" w:rsidRPr="006450FB">
        <w:rPr>
          <w:rFonts w:asciiTheme="minorHAnsi" w:hAnsiTheme="minorHAnsi" w:cstheme="minorHAnsi"/>
          <w:szCs w:val="32"/>
        </w:rPr>
        <w:t xml:space="preserve"> it was satisfied the conduct lessened competition. But the difference in treatment calls into question whether the lines drawn by the current exception are in the right place.</w:t>
      </w:r>
    </w:p>
    <w:p w14:paraId="2D6B1054" w14:textId="401AC42D" w:rsidR="00096AF3" w:rsidRPr="006450FB" w:rsidRDefault="00535036" w:rsidP="00ED7DEC">
      <w:pPr>
        <w:pStyle w:val="Heading1LR"/>
        <w:rPr>
          <w:rFonts w:asciiTheme="minorHAnsi" w:hAnsiTheme="minorHAnsi" w:cstheme="minorHAnsi"/>
        </w:rPr>
      </w:pPr>
      <w:r w:rsidRPr="006450FB">
        <w:rPr>
          <w:rFonts w:asciiTheme="minorHAnsi" w:hAnsiTheme="minorHAnsi" w:cstheme="minorHAnsi"/>
        </w:rPr>
        <w:t>IV</w:t>
      </w:r>
      <w:r w:rsidR="001112A6" w:rsidRPr="006450FB">
        <w:rPr>
          <w:rFonts w:asciiTheme="minorHAnsi" w:hAnsiTheme="minorHAnsi" w:cstheme="minorHAnsi"/>
        </w:rPr>
        <w:t xml:space="preserve">  </w:t>
      </w:r>
      <w:r w:rsidR="004C2EAD" w:rsidRPr="006450FB">
        <w:rPr>
          <w:rFonts w:asciiTheme="minorHAnsi" w:hAnsiTheme="minorHAnsi" w:cstheme="minorHAnsi"/>
        </w:rPr>
        <w:t xml:space="preserve">Is it </w:t>
      </w:r>
      <w:r w:rsidR="00ED7DEC" w:rsidRPr="006450FB">
        <w:rPr>
          <w:rFonts w:asciiTheme="minorHAnsi" w:hAnsiTheme="minorHAnsi" w:cstheme="minorHAnsi"/>
        </w:rPr>
        <w:t>C</w:t>
      </w:r>
      <w:r w:rsidR="004C2EAD" w:rsidRPr="006450FB">
        <w:rPr>
          <w:rFonts w:asciiTheme="minorHAnsi" w:hAnsiTheme="minorHAnsi" w:cstheme="minorHAnsi"/>
        </w:rPr>
        <w:t xml:space="preserve">lear </w:t>
      </w:r>
      <w:r w:rsidR="00ED7DEC" w:rsidRPr="006450FB">
        <w:rPr>
          <w:rFonts w:asciiTheme="minorHAnsi" w:hAnsiTheme="minorHAnsi" w:cstheme="minorHAnsi"/>
        </w:rPr>
        <w:t>W</w:t>
      </w:r>
      <w:r w:rsidR="00765026" w:rsidRPr="006450FB">
        <w:rPr>
          <w:rFonts w:asciiTheme="minorHAnsi" w:hAnsiTheme="minorHAnsi" w:cstheme="minorHAnsi"/>
        </w:rPr>
        <w:t xml:space="preserve">hen the Crown </w:t>
      </w:r>
      <w:r w:rsidR="00ED7DEC" w:rsidRPr="006450FB">
        <w:rPr>
          <w:rFonts w:asciiTheme="minorHAnsi" w:hAnsiTheme="minorHAnsi" w:cstheme="minorHAnsi"/>
        </w:rPr>
        <w:t xml:space="preserve">is </w:t>
      </w:r>
      <w:r w:rsidR="00765026" w:rsidRPr="006450FB">
        <w:rPr>
          <w:rFonts w:asciiTheme="minorHAnsi" w:hAnsiTheme="minorHAnsi" w:cstheme="minorHAnsi"/>
        </w:rPr>
        <w:t xml:space="preserve">in </w:t>
      </w:r>
      <w:r w:rsidR="00ED7DEC" w:rsidRPr="006450FB">
        <w:rPr>
          <w:rFonts w:asciiTheme="minorHAnsi" w:hAnsiTheme="minorHAnsi" w:cstheme="minorHAnsi"/>
        </w:rPr>
        <w:t>Tr</w:t>
      </w:r>
      <w:r w:rsidR="00765026" w:rsidRPr="006450FB">
        <w:rPr>
          <w:rFonts w:asciiTheme="minorHAnsi" w:hAnsiTheme="minorHAnsi" w:cstheme="minorHAnsi"/>
        </w:rPr>
        <w:t>ade?</w:t>
      </w:r>
    </w:p>
    <w:p w14:paraId="29DAC2DA" w14:textId="765CF8CF" w:rsidR="00391276" w:rsidRPr="006450FB" w:rsidRDefault="00616D9F" w:rsidP="00ED7DEC">
      <w:pPr>
        <w:pStyle w:val="TextnoindentLR"/>
        <w:rPr>
          <w:rFonts w:asciiTheme="minorHAnsi" w:hAnsiTheme="minorHAnsi" w:cstheme="minorHAnsi"/>
        </w:rPr>
      </w:pPr>
      <w:r w:rsidRPr="006450FB">
        <w:rPr>
          <w:rFonts w:asciiTheme="minorHAnsi" w:hAnsiTheme="minorHAnsi" w:cstheme="minorHAnsi"/>
        </w:rPr>
        <w:lastRenderedPageBreak/>
        <w:t xml:space="preserve">The Commerce Act includes a definition of </w:t>
      </w:r>
      <w:r w:rsidR="007F7F29" w:rsidRPr="006450FB">
        <w:rPr>
          <w:rFonts w:asciiTheme="minorHAnsi" w:hAnsiTheme="minorHAnsi" w:cstheme="minorHAnsi"/>
        </w:rPr>
        <w:t>“</w:t>
      </w:r>
      <w:r w:rsidRPr="006450FB">
        <w:rPr>
          <w:rFonts w:asciiTheme="minorHAnsi" w:hAnsiTheme="minorHAnsi" w:cstheme="minorHAnsi"/>
        </w:rPr>
        <w:t>trade</w:t>
      </w:r>
      <w:r w:rsidR="007F7F29" w:rsidRPr="006450FB">
        <w:rPr>
          <w:rFonts w:asciiTheme="minorHAnsi" w:hAnsiTheme="minorHAnsi" w:cstheme="minorHAnsi"/>
        </w:rPr>
        <w:t>”</w:t>
      </w:r>
      <w:r w:rsidR="009E6AE3" w:rsidRPr="006450FB">
        <w:rPr>
          <w:rFonts w:asciiTheme="minorHAnsi" w:hAnsiTheme="minorHAnsi" w:cstheme="minorHAnsi"/>
        </w:rPr>
        <w:t xml:space="preserve"> which is extremely broad</w:t>
      </w:r>
      <w:r w:rsidR="00A54D3B" w:rsidRPr="006450FB">
        <w:rPr>
          <w:rFonts w:asciiTheme="minorHAnsi" w:hAnsiTheme="minorHAnsi" w:cstheme="minorHAnsi"/>
        </w:rPr>
        <w:t xml:space="preserve">: </w:t>
      </w:r>
      <w:r w:rsidR="009E6AE3" w:rsidRPr="006450FB">
        <w:rPr>
          <w:rFonts w:asciiTheme="minorHAnsi" w:hAnsiTheme="minorHAnsi" w:cstheme="minorHAnsi"/>
        </w:rPr>
        <w:t>any trade, business, industry, profession, occupation, activity of commerce, or undertaking relating to the supply or acquisition of goods or services.</w:t>
      </w:r>
      <w:r w:rsidR="009E6AE3" w:rsidRPr="006450FB">
        <w:rPr>
          <w:rStyle w:val="FootnoteReference"/>
          <w:rFonts w:asciiTheme="minorHAnsi" w:hAnsiTheme="minorHAnsi" w:cstheme="minorHAnsi"/>
          <w:sz w:val="24"/>
          <w:szCs w:val="32"/>
        </w:rPr>
        <w:footnoteReference w:id="72"/>
      </w:r>
      <w:r w:rsidR="00EC363B" w:rsidRPr="006450FB">
        <w:rPr>
          <w:rFonts w:asciiTheme="minorHAnsi" w:hAnsiTheme="minorHAnsi" w:cstheme="minorHAnsi"/>
        </w:rPr>
        <w:t xml:space="preserve"> </w:t>
      </w:r>
      <w:r w:rsidR="008D7322" w:rsidRPr="006450FB">
        <w:rPr>
          <w:rFonts w:asciiTheme="minorHAnsi" w:hAnsiTheme="minorHAnsi" w:cstheme="minorHAnsi"/>
        </w:rPr>
        <w:t xml:space="preserve">The same definition is also found in </w:t>
      </w:r>
      <w:r w:rsidR="0047260B" w:rsidRPr="006450FB">
        <w:rPr>
          <w:rFonts w:asciiTheme="minorHAnsi" w:hAnsiTheme="minorHAnsi" w:cstheme="minorHAnsi"/>
        </w:rPr>
        <w:t xml:space="preserve">s 2 of </w:t>
      </w:r>
      <w:r w:rsidR="008D7322" w:rsidRPr="006450FB">
        <w:rPr>
          <w:rFonts w:asciiTheme="minorHAnsi" w:hAnsiTheme="minorHAnsi" w:cstheme="minorHAnsi"/>
        </w:rPr>
        <w:t xml:space="preserve">the Fair Trading Act 1986. </w:t>
      </w:r>
      <w:r w:rsidR="00C3210B" w:rsidRPr="006450FB">
        <w:rPr>
          <w:rFonts w:asciiTheme="minorHAnsi" w:hAnsiTheme="minorHAnsi" w:cstheme="minorHAnsi"/>
        </w:rPr>
        <w:t>I</w:t>
      </w:r>
      <w:r w:rsidR="00166965" w:rsidRPr="006450FB">
        <w:rPr>
          <w:rFonts w:asciiTheme="minorHAnsi" w:hAnsiTheme="minorHAnsi" w:cstheme="minorHAnsi"/>
        </w:rPr>
        <w:t>t has been suggested that</w:t>
      </w:r>
      <w:r w:rsidR="00C3210B" w:rsidRPr="006450FB">
        <w:rPr>
          <w:rFonts w:asciiTheme="minorHAnsi" w:hAnsiTheme="minorHAnsi" w:cstheme="minorHAnsi"/>
        </w:rPr>
        <w:t xml:space="preserve"> </w:t>
      </w:r>
      <w:r w:rsidR="00FE176D" w:rsidRPr="006450FB">
        <w:rPr>
          <w:rFonts w:asciiTheme="minorHAnsi" w:hAnsiTheme="minorHAnsi" w:cstheme="minorHAnsi"/>
        </w:rPr>
        <w:t xml:space="preserve">in </w:t>
      </w:r>
      <w:r w:rsidR="00C3210B" w:rsidRPr="006450FB">
        <w:rPr>
          <w:rFonts w:asciiTheme="minorHAnsi" w:hAnsiTheme="minorHAnsi" w:cstheme="minorHAnsi"/>
        </w:rPr>
        <w:t>this context</w:t>
      </w:r>
      <w:r w:rsidR="00AF48BA" w:rsidRPr="006450FB">
        <w:rPr>
          <w:rFonts w:asciiTheme="minorHAnsi" w:hAnsiTheme="minorHAnsi" w:cstheme="minorHAnsi"/>
        </w:rPr>
        <w:t xml:space="preserve"> “trade” does not </w:t>
      </w:r>
      <w:r w:rsidR="00C3210B" w:rsidRPr="006450FB">
        <w:rPr>
          <w:rFonts w:asciiTheme="minorHAnsi" w:hAnsiTheme="minorHAnsi" w:cstheme="minorHAnsi"/>
        </w:rPr>
        <w:t xml:space="preserve">necessarily </w:t>
      </w:r>
      <w:r w:rsidR="00AF48BA" w:rsidRPr="006450FB">
        <w:rPr>
          <w:rFonts w:asciiTheme="minorHAnsi" w:hAnsiTheme="minorHAnsi" w:cstheme="minorHAnsi"/>
        </w:rPr>
        <w:t xml:space="preserve">require a </w:t>
      </w:r>
      <w:r w:rsidR="00AD6BCD" w:rsidRPr="006450FB">
        <w:rPr>
          <w:rFonts w:asciiTheme="minorHAnsi" w:hAnsiTheme="minorHAnsi" w:cstheme="minorHAnsi"/>
        </w:rPr>
        <w:t xml:space="preserve">purely </w:t>
      </w:r>
      <w:r w:rsidR="00AF48BA" w:rsidRPr="006450FB">
        <w:rPr>
          <w:rFonts w:asciiTheme="minorHAnsi" w:hAnsiTheme="minorHAnsi" w:cstheme="minorHAnsi"/>
        </w:rPr>
        <w:t xml:space="preserve">commercial </w:t>
      </w:r>
      <w:r w:rsidR="00C3210B" w:rsidRPr="006450FB">
        <w:rPr>
          <w:rFonts w:asciiTheme="minorHAnsi" w:hAnsiTheme="minorHAnsi" w:cstheme="minorHAnsi"/>
        </w:rPr>
        <w:t xml:space="preserve">relationship, </w:t>
      </w:r>
      <w:r w:rsidR="00ED77E1" w:rsidRPr="006450FB">
        <w:rPr>
          <w:rFonts w:asciiTheme="minorHAnsi" w:hAnsiTheme="minorHAnsi" w:cstheme="minorHAnsi"/>
        </w:rPr>
        <w:t>given the</w:t>
      </w:r>
      <w:r w:rsidR="003311B4" w:rsidRPr="006450FB">
        <w:rPr>
          <w:rFonts w:asciiTheme="minorHAnsi" w:hAnsiTheme="minorHAnsi" w:cstheme="minorHAnsi"/>
        </w:rPr>
        <w:t xml:space="preserve"> breadth of </w:t>
      </w:r>
      <w:r w:rsidR="00ED77E1" w:rsidRPr="006450FB">
        <w:rPr>
          <w:rFonts w:asciiTheme="minorHAnsi" w:hAnsiTheme="minorHAnsi" w:cstheme="minorHAnsi"/>
        </w:rPr>
        <w:t>concepts such as “</w:t>
      </w:r>
      <w:r w:rsidR="00AF48BA" w:rsidRPr="006450FB">
        <w:rPr>
          <w:rFonts w:asciiTheme="minorHAnsi" w:hAnsiTheme="minorHAnsi" w:cstheme="minorHAnsi"/>
        </w:rPr>
        <w:t>undertaking</w:t>
      </w:r>
      <w:r w:rsidR="00ED77E1" w:rsidRPr="006450FB">
        <w:rPr>
          <w:rFonts w:asciiTheme="minorHAnsi" w:hAnsiTheme="minorHAnsi" w:cstheme="minorHAnsi"/>
        </w:rPr>
        <w:t>” and the definition of “acquir</w:t>
      </w:r>
      <w:r w:rsidR="003311B4" w:rsidRPr="006450FB">
        <w:rPr>
          <w:rFonts w:asciiTheme="minorHAnsi" w:hAnsiTheme="minorHAnsi" w:cstheme="minorHAnsi"/>
        </w:rPr>
        <w:t>ing</w:t>
      </w:r>
      <w:r w:rsidR="00ED77E1" w:rsidRPr="006450FB">
        <w:rPr>
          <w:rFonts w:asciiTheme="minorHAnsi" w:hAnsiTheme="minorHAnsi" w:cstheme="minorHAnsi"/>
        </w:rPr>
        <w:t>”</w:t>
      </w:r>
      <w:r w:rsidR="003311B4" w:rsidRPr="006450FB">
        <w:rPr>
          <w:rFonts w:asciiTheme="minorHAnsi" w:hAnsiTheme="minorHAnsi" w:cstheme="minorHAnsi"/>
        </w:rPr>
        <w:t xml:space="preserve"> goods and services.</w:t>
      </w:r>
      <w:r w:rsidR="003311B4" w:rsidRPr="006450FB">
        <w:rPr>
          <w:rStyle w:val="FootnoteReference"/>
          <w:rFonts w:asciiTheme="minorHAnsi" w:hAnsiTheme="minorHAnsi" w:cstheme="minorHAnsi"/>
          <w:sz w:val="24"/>
          <w:szCs w:val="32"/>
        </w:rPr>
        <w:footnoteReference w:id="73"/>
      </w:r>
    </w:p>
    <w:p w14:paraId="03D7EBD8" w14:textId="0201DCBF" w:rsidR="00391276" w:rsidRPr="006450FB" w:rsidRDefault="00E17D38" w:rsidP="00ED7DEC">
      <w:pPr>
        <w:pStyle w:val="TextindentedLR"/>
        <w:rPr>
          <w:rFonts w:asciiTheme="minorHAnsi" w:hAnsiTheme="minorHAnsi" w:cstheme="minorHAnsi"/>
        </w:rPr>
      </w:pPr>
      <w:r w:rsidRPr="006450FB">
        <w:rPr>
          <w:rFonts w:asciiTheme="minorHAnsi" w:hAnsiTheme="minorHAnsi" w:cstheme="minorHAnsi"/>
        </w:rPr>
        <w:t>The definition has no equivalent in the Competition and Consumer Act 2010 (Cth).</w:t>
      </w:r>
      <w:r w:rsidR="00B33D60" w:rsidRPr="006450FB">
        <w:rPr>
          <w:rFonts w:asciiTheme="minorHAnsi" w:hAnsiTheme="minorHAnsi" w:cstheme="minorHAnsi"/>
        </w:rPr>
        <w:t xml:space="preserve"> </w:t>
      </w:r>
      <w:r w:rsidR="00092DFE" w:rsidRPr="006450FB">
        <w:rPr>
          <w:rFonts w:asciiTheme="minorHAnsi" w:hAnsiTheme="minorHAnsi" w:cstheme="minorHAnsi"/>
        </w:rPr>
        <w:t xml:space="preserve">The </w:t>
      </w:r>
      <w:r w:rsidR="00F455CC" w:rsidRPr="006450FB">
        <w:rPr>
          <w:rFonts w:asciiTheme="minorHAnsi" w:hAnsiTheme="minorHAnsi" w:cstheme="minorHAnsi"/>
        </w:rPr>
        <w:t xml:space="preserve">Australian legislation does, however, </w:t>
      </w:r>
      <w:r w:rsidR="00B33D60" w:rsidRPr="006450FB">
        <w:rPr>
          <w:rFonts w:asciiTheme="minorHAnsi" w:hAnsiTheme="minorHAnsi" w:cstheme="minorHAnsi"/>
        </w:rPr>
        <w:t>provide a useful list of conduct that does not amount to carrying on business</w:t>
      </w:r>
      <w:r w:rsidR="00F455CC" w:rsidRPr="006450FB">
        <w:rPr>
          <w:rFonts w:asciiTheme="minorHAnsi" w:hAnsiTheme="minorHAnsi" w:cstheme="minorHAnsi"/>
        </w:rPr>
        <w:t xml:space="preserve"> for the purpose of their exception</w:t>
      </w:r>
      <w:r w:rsidR="00B33D60" w:rsidRPr="006450FB">
        <w:rPr>
          <w:rFonts w:asciiTheme="minorHAnsi" w:hAnsiTheme="minorHAnsi" w:cstheme="minorHAnsi"/>
        </w:rPr>
        <w:t>.</w:t>
      </w:r>
      <w:r w:rsidR="00F455CC" w:rsidRPr="006450FB">
        <w:rPr>
          <w:rStyle w:val="FootnoteReference"/>
          <w:rFonts w:asciiTheme="minorHAnsi" w:hAnsiTheme="minorHAnsi" w:cstheme="minorHAnsi"/>
          <w:sz w:val="24"/>
          <w:szCs w:val="32"/>
        </w:rPr>
        <w:footnoteReference w:id="74"/>
      </w:r>
      <w:r w:rsidR="00B33D60" w:rsidRPr="006450FB">
        <w:rPr>
          <w:rFonts w:asciiTheme="minorHAnsi" w:hAnsiTheme="minorHAnsi" w:cstheme="minorHAnsi"/>
        </w:rPr>
        <w:t xml:space="preserve"> This includes imposing and collecting taxes, </w:t>
      </w:r>
      <w:r w:rsidR="00437848" w:rsidRPr="006450FB">
        <w:rPr>
          <w:rFonts w:asciiTheme="minorHAnsi" w:hAnsiTheme="minorHAnsi" w:cstheme="minorHAnsi"/>
        </w:rPr>
        <w:t>levies,</w:t>
      </w:r>
      <w:r w:rsidR="00B33D60" w:rsidRPr="006450FB">
        <w:rPr>
          <w:rFonts w:asciiTheme="minorHAnsi" w:hAnsiTheme="minorHAnsi" w:cstheme="minorHAnsi"/>
        </w:rPr>
        <w:t xml:space="preserve"> and fees, granting of licenses, transactions entirely within the </w:t>
      </w:r>
      <w:r w:rsidR="00D136D2" w:rsidRPr="006450FB">
        <w:rPr>
          <w:rFonts w:asciiTheme="minorHAnsi" w:hAnsiTheme="minorHAnsi" w:cstheme="minorHAnsi"/>
        </w:rPr>
        <w:t>“C</w:t>
      </w:r>
      <w:r w:rsidR="00B33D60" w:rsidRPr="006450FB">
        <w:rPr>
          <w:rFonts w:asciiTheme="minorHAnsi" w:hAnsiTheme="minorHAnsi" w:cstheme="minorHAnsi"/>
        </w:rPr>
        <w:t>rown</w:t>
      </w:r>
      <w:r w:rsidR="00D136D2" w:rsidRPr="006450FB">
        <w:rPr>
          <w:rFonts w:asciiTheme="minorHAnsi" w:hAnsiTheme="minorHAnsi" w:cstheme="minorHAnsi"/>
        </w:rPr>
        <w:t>”</w:t>
      </w:r>
      <w:r w:rsidR="00B33D60" w:rsidRPr="006450FB">
        <w:rPr>
          <w:rFonts w:asciiTheme="minorHAnsi" w:hAnsiTheme="minorHAnsi" w:cstheme="minorHAnsi"/>
        </w:rPr>
        <w:t xml:space="preserve"> family, and the acquisition of products under legislation where there was no choice but to acquire them. It may be that, if the trade definition is retained</w:t>
      </w:r>
      <w:r w:rsidR="008D0B0E" w:rsidRPr="006450FB">
        <w:rPr>
          <w:rFonts w:asciiTheme="minorHAnsi" w:hAnsiTheme="minorHAnsi" w:cstheme="minorHAnsi"/>
        </w:rPr>
        <w:t xml:space="preserve"> in the </w:t>
      </w:r>
      <w:r w:rsidR="00C92B13" w:rsidRPr="006450FB">
        <w:rPr>
          <w:rFonts w:asciiTheme="minorHAnsi" w:hAnsiTheme="minorHAnsi" w:cstheme="minorHAnsi"/>
        </w:rPr>
        <w:t>C</w:t>
      </w:r>
      <w:r w:rsidR="008D0B0E" w:rsidRPr="006450FB">
        <w:rPr>
          <w:rFonts w:asciiTheme="minorHAnsi" w:hAnsiTheme="minorHAnsi" w:cstheme="minorHAnsi"/>
        </w:rPr>
        <w:t>rown exceptions</w:t>
      </w:r>
      <w:r w:rsidR="00B33D60" w:rsidRPr="006450FB">
        <w:rPr>
          <w:rFonts w:asciiTheme="minorHAnsi" w:hAnsiTheme="minorHAnsi" w:cstheme="minorHAnsi"/>
        </w:rPr>
        <w:t>, there is some benefit in clarifying amendments</w:t>
      </w:r>
      <w:r w:rsidR="008D0B0E" w:rsidRPr="006450FB">
        <w:rPr>
          <w:rFonts w:asciiTheme="minorHAnsi" w:hAnsiTheme="minorHAnsi" w:cstheme="minorHAnsi"/>
        </w:rPr>
        <w:t xml:space="preserve"> of a similar nature</w:t>
      </w:r>
      <w:r w:rsidR="00B33D60" w:rsidRPr="006450FB">
        <w:rPr>
          <w:rFonts w:asciiTheme="minorHAnsi" w:hAnsiTheme="minorHAnsi" w:cstheme="minorHAnsi"/>
        </w:rPr>
        <w:t>.</w:t>
      </w:r>
    </w:p>
    <w:p w14:paraId="3855000F" w14:textId="7BD4B9CB" w:rsidR="00391276" w:rsidRPr="006450FB" w:rsidRDefault="00273816" w:rsidP="00ED7DEC">
      <w:pPr>
        <w:pStyle w:val="TextindentedLR"/>
        <w:rPr>
          <w:rFonts w:asciiTheme="minorHAnsi" w:hAnsiTheme="minorHAnsi" w:cstheme="minorHAnsi"/>
        </w:rPr>
      </w:pPr>
      <w:r w:rsidRPr="006450FB">
        <w:rPr>
          <w:rFonts w:asciiTheme="minorHAnsi" w:hAnsiTheme="minorHAnsi" w:cstheme="minorHAnsi"/>
        </w:rPr>
        <w:t>The leading authority on the application of th</w:t>
      </w:r>
      <w:r w:rsidR="000E532D" w:rsidRPr="006450FB">
        <w:rPr>
          <w:rFonts w:asciiTheme="minorHAnsi" w:hAnsiTheme="minorHAnsi" w:cstheme="minorHAnsi"/>
        </w:rPr>
        <w:t>e</w:t>
      </w:r>
      <w:r w:rsidRPr="006450FB">
        <w:rPr>
          <w:rFonts w:asciiTheme="minorHAnsi" w:hAnsiTheme="minorHAnsi" w:cstheme="minorHAnsi"/>
        </w:rPr>
        <w:t xml:space="preserve"> definition </w:t>
      </w:r>
      <w:r w:rsidR="000E532D" w:rsidRPr="006450FB">
        <w:rPr>
          <w:rFonts w:asciiTheme="minorHAnsi" w:hAnsiTheme="minorHAnsi" w:cstheme="minorHAnsi"/>
        </w:rPr>
        <w:t xml:space="preserve">of trade to the Crown </w:t>
      </w:r>
      <w:r w:rsidRPr="006450FB">
        <w:rPr>
          <w:rFonts w:asciiTheme="minorHAnsi" w:hAnsiTheme="minorHAnsi" w:cstheme="minorHAnsi"/>
        </w:rPr>
        <w:t xml:space="preserve">is </w:t>
      </w:r>
      <w:r w:rsidR="00E13864" w:rsidRPr="006450FB">
        <w:rPr>
          <w:rFonts w:asciiTheme="minorHAnsi" w:hAnsiTheme="minorHAnsi" w:cstheme="minorHAnsi"/>
          <w:i/>
          <w:iCs/>
        </w:rPr>
        <w:t>Glaxo New Zealand Ltd v Attorney-General</w:t>
      </w:r>
      <w:r w:rsidR="00E13864" w:rsidRPr="006450FB">
        <w:rPr>
          <w:rFonts w:asciiTheme="minorHAnsi" w:hAnsiTheme="minorHAnsi" w:cstheme="minorHAnsi"/>
        </w:rPr>
        <w:t>.</w:t>
      </w:r>
      <w:r w:rsidR="00E13864" w:rsidRPr="006450FB">
        <w:rPr>
          <w:rStyle w:val="FootnoteReference"/>
          <w:rFonts w:asciiTheme="minorHAnsi" w:hAnsiTheme="minorHAnsi" w:cstheme="minorHAnsi"/>
          <w:sz w:val="24"/>
          <w:szCs w:val="32"/>
        </w:rPr>
        <w:footnoteReference w:id="75"/>
      </w:r>
      <w:r w:rsidR="00165427" w:rsidRPr="006450FB">
        <w:rPr>
          <w:rFonts w:asciiTheme="minorHAnsi" w:hAnsiTheme="minorHAnsi" w:cstheme="minorHAnsi"/>
        </w:rPr>
        <w:t xml:space="preserve"> Glaxo had applied </w:t>
      </w:r>
      <w:r w:rsidR="00780F9A" w:rsidRPr="006450FB">
        <w:rPr>
          <w:rFonts w:asciiTheme="minorHAnsi" w:hAnsiTheme="minorHAnsi" w:cstheme="minorHAnsi"/>
        </w:rPr>
        <w:t>to the Minister of Health, seeking to list an antibiotic</w:t>
      </w:r>
      <w:r w:rsidR="00511357" w:rsidRPr="006450FB">
        <w:rPr>
          <w:rFonts w:asciiTheme="minorHAnsi" w:hAnsiTheme="minorHAnsi" w:cstheme="minorHAnsi"/>
        </w:rPr>
        <w:t xml:space="preserve"> branded as Ceporex</w:t>
      </w:r>
      <w:r w:rsidR="00780F9A" w:rsidRPr="006450FB">
        <w:rPr>
          <w:rFonts w:asciiTheme="minorHAnsi" w:hAnsiTheme="minorHAnsi" w:cstheme="minorHAnsi"/>
        </w:rPr>
        <w:t xml:space="preserve"> </w:t>
      </w:r>
      <w:r w:rsidR="00A159FD" w:rsidRPr="006450FB">
        <w:rPr>
          <w:rFonts w:asciiTheme="minorHAnsi" w:hAnsiTheme="minorHAnsi" w:cstheme="minorHAnsi"/>
        </w:rPr>
        <w:t>for subsidised use outside of hospital pharmacies</w:t>
      </w:r>
      <w:r w:rsidR="00203375" w:rsidRPr="006450FB">
        <w:rPr>
          <w:rFonts w:asciiTheme="minorHAnsi" w:hAnsiTheme="minorHAnsi" w:cstheme="minorHAnsi"/>
        </w:rPr>
        <w:t xml:space="preserve">. </w:t>
      </w:r>
      <w:r w:rsidR="006E64DF" w:rsidRPr="006450FB">
        <w:rPr>
          <w:rFonts w:asciiTheme="minorHAnsi" w:hAnsiTheme="minorHAnsi" w:cstheme="minorHAnsi"/>
        </w:rPr>
        <w:t>The Minister’s decision to decline</w:t>
      </w:r>
      <w:r w:rsidR="00511357" w:rsidRPr="006450FB">
        <w:rPr>
          <w:rFonts w:asciiTheme="minorHAnsi" w:hAnsiTheme="minorHAnsi" w:cstheme="minorHAnsi"/>
        </w:rPr>
        <w:t xml:space="preserve"> to list Ceporex was challenged by way of judicial review, and als</w:t>
      </w:r>
      <w:r w:rsidR="00525EA6" w:rsidRPr="006450FB">
        <w:rPr>
          <w:rFonts w:asciiTheme="minorHAnsi" w:hAnsiTheme="minorHAnsi" w:cstheme="minorHAnsi"/>
        </w:rPr>
        <w:t>o sought declarations the Minister had contravened s</w:t>
      </w:r>
      <w:r w:rsidR="000E532D" w:rsidRPr="006450FB">
        <w:rPr>
          <w:rFonts w:asciiTheme="minorHAnsi" w:hAnsiTheme="minorHAnsi" w:cstheme="minorHAnsi"/>
        </w:rPr>
        <w:t xml:space="preserve"> </w:t>
      </w:r>
      <w:r w:rsidR="00525EA6" w:rsidRPr="006450FB">
        <w:rPr>
          <w:rFonts w:asciiTheme="minorHAnsi" w:hAnsiTheme="minorHAnsi" w:cstheme="minorHAnsi"/>
        </w:rPr>
        <w:t>36</w:t>
      </w:r>
      <w:r w:rsidR="000E532D" w:rsidRPr="006450FB">
        <w:rPr>
          <w:rFonts w:asciiTheme="minorHAnsi" w:hAnsiTheme="minorHAnsi" w:cstheme="minorHAnsi"/>
        </w:rPr>
        <w:t xml:space="preserve"> of the Commerce Act</w:t>
      </w:r>
      <w:r w:rsidR="000F0767" w:rsidRPr="006450FB">
        <w:rPr>
          <w:rFonts w:asciiTheme="minorHAnsi" w:hAnsiTheme="minorHAnsi" w:cstheme="minorHAnsi"/>
        </w:rPr>
        <w:t>.</w:t>
      </w:r>
    </w:p>
    <w:p w14:paraId="1560CFF9" w14:textId="2F82D961" w:rsidR="00391276" w:rsidRPr="006450FB" w:rsidRDefault="000F0767" w:rsidP="00ED7DEC">
      <w:pPr>
        <w:pStyle w:val="TextindentedLR"/>
        <w:rPr>
          <w:rFonts w:asciiTheme="minorHAnsi" w:hAnsiTheme="minorHAnsi" w:cstheme="minorHAnsi"/>
        </w:rPr>
      </w:pPr>
      <w:r w:rsidRPr="006450FB">
        <w:rPr>
          <w:rFonts w:asciiTheme="minorHAnsi" w:hAnsiTheme="minorHAnsi" w:cstheme="minorHAnsi"/>
        </w:rPr>
        <w:t xml:space="preserve">The High Court </w:t>
      </w:r>
      <w:r w:rsidR="004A102F" w:rsidRPr="006450FB">
        <w:rPr>
          <w:rFonts w:asciiTheme="minorHAnsi" w:hAnsiTheme="minorHAnsi" w:cstheme="minorHAnsi"/>
        </w:rPr>
        <w:t>struck out this claim on the basis the Minister was not in trade.</w:t>
      </w:r>
      <w:bookmarkStart w:id="11" w:name="_Ref140933173"/>
      <w:r w:rsidR="00DE0494" w:rsidRPr="006450FB">
        <w:rPr>
          <w:rStyle w:val="FootnoteReference"/>
          <w:rFonts w:asciiTheme="minorHAnsi" w:hAnsiTheme="minorHAnsi" w:cstheme="minorHAnsi"/>
          <w:sz w:val="24"/>
          <w:szCs w:val="32"/>
        </w:rPr>
        <w:footnoteReference w:id="76"/>
      </w:r>
      <w:bookmarkEnd w:id="11"/>
      <w:r w:rsidR="004A102F" w:rsidRPr="006450FB">
        <w:rPr>
          <w:rFonts w:asciiTheme="minorHAnsi" w:hAnsiTheme="minorHAnsi" w:cstheme="minorHAnsi"/>
        </w:rPr>
        <w:t xml:space="preserve"> </w:t>
      </w:r>
      <w:r w:rsidR="00FD720C" w:rsidRPr="006450FB">
        <w:rPr>
          <w:rFonts w:asciiTheme="minorHAnsi" w:hAnsiTheme="minorHAnsi" w:cstheme="minorHAnsi"/>
        </w:rPr>
        <w:t xml:space="preserve">Barker J approved of </w:t>
      </w:r>
      <w:r w:rsidR="007750DF" w:rsidRPr="006450FB">
        <w:rPr>
          <w:rFonts w:asciiTheme="minorHAnsi" w:hAnsiTheme="minorHAnsi" w:cstheme="minorHAnsi"/>
        </w:rPr>
        <w:t>the approach adopted by the</w:t>
      </w:r>
      <w:r w:rsidR="009C3796" w:rsidRPr="006450FB">
        <w:rPr>
          <w:rFonts w:asciiTheme="minorHAnsi" w:hAnsiTheme="minorHAnsi" w:cstheme="minorHAnsi"/>
        </w:rPr>
        <w:t xml:space="preserve"> Commerce Commission</w:t>
      </w:r>
      <w:r w:rsidR="00FD720C" w:rsidRPr="006450FB">
        <w:rPr>
          <w:rFonts w:asciiTheme="minorHAnsi" w:hAnsiTheme="minorHAnsi" w:cstheme="minorHAnsi"/>
        </w:rPr>
        <w:t xml:space="preserve"> </w:t>
      </w:r>
      <w:r w:rsidR="007750DF" w:rsidRPr="006450FB">
        <w:rPr>
          <w:rFonts w:asciiTheme="minorHAnsi" w:hAnsiTheme="minorHAnsi" w:cstheme="minorHAnsi"/>
        </w:rPr>
        <w:t xml:space="preserve">in </w:t>
      </w:r>
      <w:r w:rsidR="007750DF" w:rsidRPr="006450FB">
        <w:rPr>
          <w:rFonts w:asciiTheme="minorHAnsi" w:hAnsiTheme="minorHAnsi" w:cstheme="minorHAnsi"/>
          <w:i/>
          <w:iCs/>
        </w:rPr>
        <w:t>Re NZ Medical Association</w:t>
      </w:r>
      <w:r w:rsidR="007750DF" w:rsidRPr="006450FB">
        <w:rPr>
          <w:rFonts w:asciiTheme="minorHAnsi" w:hAnsiTheme="minorHAnsi" w:cstheme="minorHAnsi"/>
        </w:rPr>
        <w:t>,</w:t>
      </w:r>
      <w:r w:rsidR="007750DF" w:rsidRPr="006450FB">
        <w:rPr>
          <w:rStyle w:val="FootnoteReference"/>
          <w:rFonts w:asciiTheme="minorHAnsi" w:hAnsiTheme="minorHAnsi" w:cstheme="minorHAnsi"/>
          <w:sz w:val="24"/>
          <w:szCs w:val="32"/>
        </w:rPr>
        <w:footnoteReference w:id="77"/>
      </w:r>
      <w:r w:rsidR="009C3796" w:rsidRPr="006450FB">
        <w:rPr>
          <w:rFonts w:asciiTheme="minorHAnsi" w:hAnsiTheme="minorHAnsi" w:cstheme="minorHAnsi"/>
        </w:rPr>
        <w:t xml:space="preserve"> in which it had been held that</w:t>
      </w:r>
      <w:r w:rsidR="007750DF" w:rsidRPr="006450FB">
        <w:rPr>
          <w:rFonts w:asciiTheme="minorHAnsi" w:hAnsiTheme="minorHAnsi" w:cstheme="minorHAnsi"/>
        </w:rPr>
        <w:t xml:space="preserve"> the </w:t>
      </w:r>
      <w:r w:rsidR="006F644D" w:rsidRPr="006450FB">
        <w:rPr>
          <w:rFonts w:asciiTheme="minorHAnsi" w:hAnsiTheme="minorHAnsi" w:cstheme="minorHAnsi"/>
        </w:rPr>
        <w:t>Crown was not in trade when</w:t>
      </w:r>
      <w:r w:rsidR="009C3796" w:rsidRPr="006450FB">
        <w:rPr>
          <w:rFonts w:asciiTheme="minorHAnsi" w:hAnsiTheme="minorHAnsi" w:cstheme="minorHAnsi"/>
        </w:rPr>
        <w:t xml:space="preserve"> agreeing the subsidy payable to medical prac</w:t>
      </w:r>
      <w:r w:rsidR="006F644D" w:rsidRPr="006450FB">
        <w:rPr>
          <w:rFonts w:asciiTheme="minorHAnsi" w:hAnsiTheme="minorHAnsi" w:cstheme="minorHAnsi"/>
        </w:rPr>
        <w:t>titioners for child consultations</w:t>
      </w:r>
      <w:r w:rsidR="005D4E73" w:rsidRPr="006450FB">
        <w:rPr>
          <w:rFonts w:asciiTheme="minorHAnsi" w:hAnsiTheme="minorHAnsi" w:cstheme="minorHAnsi"/>
        </w:rPr>
        <w:t>:</w:t>
      </w:r>
      <w:r w:rsidR="005D4E73" w:rsidRPr="006450FB">
        <w:rPr>
          <w:rStyle w:val="FootnoteReference"/>
          <w:rFonts w:asciiTheme="minorHAnsi" w:hAnsiTheme="minorHAnsi" w:cstheme="minorHAnsi"/>
          <w:sz w:val="24"/>
          <w:szCs w:val="32"/>
        </w:rPr>
        <w:footnoteReference w:id="78"/>
      </w:r>
    </w:p>
    <w:p w14:paraId="570F8625" w14:textId="77777777" w:rsidR="00ED7DEC" w:rsidRPr="006450FB" w:rsidRDefault="00ED7DEC" w:rsidP="00ED7DEC">
      <w:pPr>
        <w:pStyle w:val="TextindentedLR"/>
        <w:ind w:firstLine="0"/>
        <w:rPr>
          <w:rFonts w:asciiTheme="minorHAnsi" w:hAnsiTheme="minorHAnsi" w:cstheme="minorHAnsi"/>
        </w:rPr>
      </w:pPr>
    </w:p>
    <w:p w14:paraId="2AA890E5" w14:textId="04AD53BF" w:rsidR="00391276" w:rsidRPr="006450FB" w:rsidRDefault="005D4E73" w:rsidP="00ED7DEC">
      <w:pPr>
        <w:pStyle w:val="QuoteLR"/>
        <w:rPr>
          <w:rFonts w:asciiTheme="minorHAnsi" w:hAnsiTheme="minorHAnsi" w:cstheme="minorHAnsi"/>
        </w:rPr>
      </w:pPr>
      <w:r w:rsidRPr="006450FB">
        <w:rPr>
          <w:rFonts w:asciiTheme="minorHAnsi" w:hAnsiTheme="minorHAnsi" w:cstheme="minorHAnsi"/>
        </w:rPr>
        <w:t xml:space="preserve">The words </w:t>
      </w:r>
      <w:r w:rsidR="00427585" w:rsidRPr="006450FB">
        <w:rPr>
          <w:rFonts w:asciiTheme="minorHAnsi" w:hAnsiTheme="minorHAnsi" w:cstheme="minorHAnsi"/>
        </w:rPr>
        <w:t>“</w:t>
      </w:r>
      <w:r w:rsidRPr="006450FB">
        <w:rPr>
          <w:rFonts w:asciiTheme="minorHAnsi" w:hAnsiTheme="minorHAnsi" w:cstheme="minorHAnsi"/>
        </w:rPr>
        <w:t>engages in trade</w:t>
      </w:r>
      <w:r w:rsidR="00427585" w:rsidRPr="006450FB">
        <w:rPr>
          <w:rFonts w:asciiTheme="minorHAnsi" w:hAnsiTheme="minorHAnsi" w:cstheme="minorHAnsi"/>
        </w:rPr>
        <w:t>”</w:t>
      </w:r>
      <w:r w:rsidRPr="006450FB">
        <w:rPr>
          <w:rFonts w:asciiTheme="minorHAnsi" w:hAnsiTheme="minorHAnsi" w:cstheme="minorHAnsi"/>
        </w:rPr>
        <w:t xml:space="preserve"> may be argued to connote acting </w:t>
      </w:r>
      <w:r w:rsidR="00427585" w:rsidRPr="006450FB">
        <w:rPr>
          <w:rFonts w:asciiTheme="minorHAnsi" w:hAnsiTheme="minorHAnsi" w:cstheme="minorHAnsi"/>
        </w:rPr>
        <w:t>“</w:t>
      </w:r>
      <w:r w:rsidRPr="006450FB">
        <w:rPr>
          <w:rFonts w:asciiTheme="minorHAnsi" w:hAnsiTheme="minorHAnsi" w:cstheme="minorHAnsi"/>
        </w:rPr>
        <w:t>in the course of trade</w:t>
      </w:r>
      <w:r w:rsidR="00427585" w:rsidRPr="006450FB">
        <w:rPr>
          <w:rFonts w:asciiTheme="minorHAnsi" w:hAnsiTheme="minorHAnsi" w:cstheme="minorHAnsi"/>
        </w:rPr>
        <w:t>”</w:t>
      </w:r>
      <w:r w:rsidRPr="006450FB">
        <w:rPr>
          <w:rFonts w:asciiTheme="minorHAnsi" w:hAnsiTheme="minorHAnsi" w:cstheme="minorHAnsi"/>
        </w:rPr>
        <w:t xml:space="preserve"> as distinct from </w:t>
      </w:r>
      <w:r w:rsidR="005E4C08" w:rsidRPr="006450FB">
        <w:rPr>
          <w:rFonts w:asciiTheme="minorHAnsi" w:hAnsiTheme="minorHAnsi" w:cstheme="minorHAnsi"/>
        </w:rPr>
        <w:t>“</w:t>
      </w:r>
      <w:r w:rsidRPr="006450FB">
        <w:rPr>
          <w:rFonts w:asciiTheme="minorHAnsi" w:hAnsiTheme="minorHAnsi" w:cstheme="minorHAnsi"/>
        </w:rPr>
        <w:t>carrying on trade</w:t>
      </w:r>
      <w:r w:rsidR="005E4C08" w:rsidRPr="006450FB">
        <w:rPr>
          <w:rFonts w:asciiTheme="minorHAnsi" w:hAnsiTheme="minorHAnsi" w:cstheme="minorHAnsi"/>
        </w:rPr>
        <w:t>”</w:t>
      </w:r>
      <w:r w:rsidRPr="006450FB">
        <w:rPr>
          <w:rFonts w:asciiTheme="minorHAnsi" w:hAnsiTheme="minorHAnsi" w:cstheme="minorHAnsi"/>
        </w:rPr>
        <w:t xml:space="preserve">. If this first sense were taken, then it could at least be argued that the Crown, though not itself engaged in trade, was acting </w:t>
      </w:r>
      <w:r w:rsidR="00427585" w:rsidRPr="006450FB">
        <w:rPr>
          <w:rFonts w:asciiTheme="minorHAnsi" w:hAnsiTheme="minorHAnsi" w:cstheme="minorHAnsi"/>
        </w:rPr>
        <w:t>“</w:t>
      </w:r>
      <w:r w:rsidRPr="006450FB">
        <w:rPr>
          <w:rFonts w:asciiTheme="minorHAnsi" w:hAnsiTheme="minorHAnsi" w:cstheme="minorHAnsi"/>
        </w:rPr>
        <w:t>in the course of</w:t>
      </w:r>
      <w:r w:rsidR="00427585" w:rsidRPr="006450FB">
        <w:rPr>
          <w:rFonts w:asciiTheme="minorHAnsi" w:hAnsiTheme="minorHAnsi" w:cstheme="minorHAnsi"/>
        </w:rPr>
        <w:t>”</w:t>
      </w:r>
      <w:r w:rsidRPr="006450FB">
        <w:rPr>
          <w:rFonts w:asciiTheme="minorHAnsi" w:hAnsiTheme="minorHAnsi" w:cstheme="minorHAnsi"/>
        </w:rPr>
        <w:t xml:space="preserve"> trade, ie in relation to a series of activities involving trade. However, the Commission considers that the better view of </w:t>
      </w:r>
      <w:r w:rsidR="00427585" w:rsidRPr="006450FB">
        <w:rPr>
          <w:rFonts w:asciiTheme="minorHAnsi" w:hAnsiTheme="minorHAnsi" w:cstheme="minorHAnsi"/>
        </w:rPr>
        <w:t>“</w:t>
      </w:r>
      <w:r w:rsidRPr="006450FB">
        <w:rPr>
          <w:rFonts w:asciiTheme="minorHAnsi" w:hAnsiTheme="minorHAnsi" w:cstheme="minorHAnsi"/>
        </w:rPr>
        <w:t>engages</w:t>
      </w:r>
      <w:r w:rsidR="00427585" w:rsidRPr="006450FB">
        <w:rPr>
          <w:rFonts w:asciiTheme="minorHAnsi" w:hAnsiTheme="minorHAnsi" w:cstheme="minorHAnsi"/>
        </w:rPr>
        <w:t>”</w:t>
      </w:r>
      <w:r w:rsidRPr="006450FB">
        <w:rPr>
          <w:rFonts w:asciiTheme="minorHAnsi" w:hAnsiTheme="minorHAnsi" w:cstheme="minorHAnsi"/>
        </w:rPr>
        <w:t xml:space="preserve"> is that it is necessary for the Crown to be carrying on trade. In this case, the Crown is not itself engaging in a business activity in respect of this arrangement, and for that reason, in the view of the Commission, is not engaged in trade in terms of the Act.</w:t>
      </w:r>
    </w:p>
    <w:p w14:paraId="3556968D" w14:textId="77777777" w:rsidR="00ED7DEC" w:rsidRPr="006450FB" w:rsidRDefault="00ED7DEC" w:rsidP="00ED7DEC">
      <w:pPr>
        <w:pStyle w:val="QuoteLR"/>
        <w:ind w:left="0"/>
        <w:rPr>
          <w:rFonts w:asciiTheme="minorHAnsi" w:hAnsiTheme="minorHAnsi" w:cstheme="minorHAnsi"/>
        </w:rPr>
      </w:pPr>
    </w:p>
    <w:p w14:paraId="258DAA58" w14:textId="59784F99" w:rsidR="00391276" w:rsidRPr="006450FB" w:rsidRDefault="004A102F" w:rsidP="00ED7DEC">
      <w:pPr>
        <w:pStyle w:val="TextnoindentLR"/>
        <w:rPr>
          <w:rFonts w:asciiTheme="minorHAnsi" w:hAnsiTheme="minorHAnsi" w:cstheme="minorHAnsi"/>
        </w:rPr>
      </w:pPr>
      <w:r w:rsidRPr="006450FB">
        <w:rPr>
          <w:rFonts w:asciiTheme="minorHAnsi" w:hAnsiTheme="minorHAnsi" w:cstheme="minorHAnsi"/>
        </w:rPr>
        <w:t xml:space="preserve">Barker J </w:t>
      </w:r>
      <w:r w:rsidR="00841C55" w:rsidRPr="006450FB">
        <w:rPr>
          <w:rFonts w:asciiTheme="minorHAnsi" w:hAnsiTheme="minorHAnsi" w:cstheme="minorHAnsi"/>
        </w:rPr>
        <w:t>noted the</w:t>
      </w:r>
      <w:r w:rsidR="000F0767" w:rsidRPr="006450FB">
        <w:rPr>
          <w:rFonts w:asciiTheme="minorHAnsi" w:hAnsiTheme="minorHAnsi" w:cstheme="minorHAnsi"/>
        </w:rPr>
        <w:t xml:space="preserve"> </w:t>
      </w:r>
      <w:r w:rsidRPr="006450FB">
        <w:rPr>
          <w:rFonts w:asciiTheme="minorHAnsi" w:hAnsiTheme="minorHAnsi" w:cstheme="minorHAnsi"/>
        </w:rPr>
        <w:t>decision</w:t>
      </w:r>
      <w:r w:rsidR="00620FBE" w:rsidRPr="006450FB">
        <w:rPr>
          <w:rFonts w:asciiTheme="minorHAnsi" w:hAnsiTheme="minorHAnsi" w:cstheme="minorHAnsi"/>
        </w:rPr>
        <w:t xml:space="preserve"> in the case before him was similar. The power</w:t>
      </w:r>
      <w:r w:rsidRPr="006450FB">
        <w:rPr>
          <w:rFonts w:asciiTheme="minorHAnsi" w:hAnsiTheme="minorHAnsi" w:cstheme="minorHAnsi"/>
        </w:rPr>
        <w:t xml:space="preserve"> was </w:t>
      </w:r>
      <w:r w:rsidR="00620FBE" w:rsidRPr="006450FB">
        <w:rPr>
          <w:rFonts w:asciiTheme="minorHAnsi" w:hAnsiTheme="minorHAnsi" w:cstheme="minorHAnsi"/>
        </w:rPr>
        <w:t>as to</w:t>
      </w:r>
      <w:r w:rsidRPr="006450FB">
        <w:rPr>
          <w:rFonts w:asciiTheme="minorHAnsi" w:hAnsiTheme="minorHAnsi" w:cstheme="minorHAnsi"/>
        </w:rPr>
        <w:t xml:space="preserve"> </w:t>
      </w:r>
      <w:r w:rsidR="00AA4AD1" w:rsidRPr="006450FB">
        <w:rPr>
          <w:rFonts w:asciiTheme="minorHAnsi" w:hAnsiTheme="minorHAnsi" w:cstheme="minorHAnsi"/>
        </w:rPr>
        <w:t xml:space="preserve">the subsidy provided, and </w:t>
      </w:r>
      <w:r w:rsidR="00841C55" w:rsidRPr="006450FB">
        <w:rPr>
          <w:rFonts w:asciiTheme="minorHAnsi" w:hAnsiTheme="minorHAnsi" w:cstheme="minorHAnsi"/>
        </w:rPr>
        <w:t xml:space="preserve">Minister </w:t>
      </w:r>
      <w:r w:rsidR="00AA4AD1" w:rsidRPr="006450FB">
        <w:rPr>
          <w:rFonts w:asciiTheme="minorHAnsi" w:hAnsiTheme="minorHAnsi" w:cstheme="minorHAnsi"/>
        </w:rPr>
        <w:t>was not</w:t>
      </w:r>
      <w:r w:rsidR="00841C55" w:rsidRPr="006450FB">
        <w:rPr>
          <w:rFonts w:asciiTheme="minorHAnsi" w:hAnsiTheme="minorHAnsi" w:cstheme="minorHAnsi"/>
        </w:rPr>
        <w:t xml:space="preserve"> involved in any contract for the supply or sale and purchase of pharmaceuticals either at wholesale or retail level</w:t>
      </w:r>
      <w:r w:rsidRPr="006450FB">
        <w:rPr>
          <w:rFonts w:asciiTheme="minorHAnsi" w:hAnsiTheme="minorHAnsi" w:cstheme="minorHAnsi"/>
        </w:rPr>
        <w:t>.</w:t>
      </w:r>
      <w:r w:rsidR="00FD720C" w:rsidRPr="006450FB">
        <w:rPr>
          <w:rFonts w:asciiTheme="minorHAnsi" w:hAnsiTheme="minorHAnsi" w:cstheme="minorHAnsi"/>
        </w:rPr>
        <w:t xml:space="preserve"> While </w:t>
      </w:r>
      <w:r w:rsidR="00DE0494" w:rsidRPr="006450FB">
        <w:rPr>
          <w:rFonts w:asciiTheme="minorHAnsi" w:hAnsiTheme="minorHAnsi" w:cstheme="minorHAnsi"/>
        </w:rPr>
        <w:t>the Minister’s</w:t>
      </w:r>
      <w:r w:rsidR="00FD720C" w:rsidRPr="006450FB">
        <w:rPr>
          <w:rFonts w:asciiTheme="minorHAnsi" w:hAnsiTheme="minorHAnsi" w:cstheme="minorHAnsi"/>
        </w:rPr>
        <w:t xml:space="preserve"> actions might </w:t>
      </w:r>
      <w:r w:rsidR="00FD720C" w:rsidRPr="006450FB">
        <w:rPr>
          <w:rFonts w:asciiTheme="minorHAnsi" w:hAnsiTheme="minorHAnsi" w:cstheme="minorHAnsi"/>
          <w:i/>
          <w:iCs/>
        </w:rPr>
        <w:t>affect trade</w:t>
      </w:r>
      <w:r w:rsidR="00FD720C" w:rsidRPr="006450FB">
        <w:rPr>
          <w:rFonts w:asciiTheme="minorHAnsi" w:hAnsiTheme="minorHAnsi" w:cstheme="minorHAnsi"/>
        </w:rPr>
        <w:t xml:space="preserve">, they were not </w:t>
      </w:r>
      <w:r w:rsidR="00DE0494" w:rsidRPr="006450FB">
        <w:rPr>
          <w:rFonts w:asciiTheme="minorHAnsi" w:hAnsiTheme="minorHAnsi" w:cstheme="minorHAnsi"/>
          <w:i/>
          <w:iCs/>
        </w:rPr>
        <w:t>in trade</w:t>
      </w:r>
      <w:r w:rsidR="00DE0494" w:rsidRPr="006450FB">
        <w:rPr>
          <w:rFonts w:asciiTheme="minorHAnsi" w:hAnsiTheme="minorHAnsi" w:cstheme="minorHAnsi"/>
        </w:rPr>
        <w:t>.</w:t>
      </w:r>
      <w:r w:rsidR="00DE0494" w:rsidRPr="006450FB">
        <w:rPr>
          <w:rStyle w:val="FootnoteReference"/>
          <w:rFonts w:asciiTheme="minorHAnsi" w:hAnsiTheme="minorHAnsi" w:cstheme="minorHAnsi"/>
          <w:sz w:val="24"/>
          <w:szCs w:val="32"/>
        </w:rPr>
        <w:footnoteReference w:id="79"/>
      </w:r>
    </w:p>
    <w:p w14:paraId="375CFCB6" w14:textId="087283D5" w:rsidR="00ED7DEC" w:rsidRPr="006450FB" w:rsidRDefault="000F0767" w:rsidP="00ED7DEC">
      <w:pPr>
        <w:pStyle w:val="TextindentedLR"/>
        <w:rPr>
          <w:rFonts w:asciiTheme="minorHAnsi" w:hAnsiTheme="minorHAnsi" w:cstheme="minorHAnsi"/>
        </w:rPr>
      </w:pPr>
      <w:r w:rsidRPr="006450FB">
        <w:rPr>
          <w:rFonts w:asciiTheme="minorHAnsi" w:hAnsiTheme="minorHAnsi" w:cstheme="minorHAnsi"/>
        </w:rPr>
        <w:t>The Court of Appeal</w:t>
      </w:r>
      <w:r w:rsidR="00887CB9" w:rsidRPr="006450FB">
        <w:rPr>
          <w:rFonts w:asciiTheme="minorHAnsi" w:hAnsiTheme="minorHAnsi" w:cstheme="minorHAnsi"/>
        </w:rPr>
        <w:t xml:space="preserve"> upheld the judgment of the High Court,</w:t>
      </w:r>
      <w:r w:rsidR="00F47786" w:rsidRPr="006450FB">
        <w:rPr>
          <w:rFonts w:asciiTheme="minorHAnsi" w:hAnsiTheme="minorHAnsi" w:cstheme="minorHAnsi"/>
        </w:rPr>
        <w:t xml:space="preserve"> agreeing with </w:t>
      </w:r>
      <w:r w:rsidR="00D136D2" w:rsidRPr="006450FB">
        <w:rPr>
          <w:rFonts w:asciiTheme="minorHAnsi" w:hAnsiTheme="minorHAnsi" w:cstheme="minorHAnsi"/>
        </w:rPr>
        <w:t>it</w:t>
      </w:r>
      <w:r w:rsidR="00F47786" w:rsidRPr="006450FB">
        <w:rPr>
          <w:rFonts w:asciiTheme="minorHAnsi" w:hAnsiTheme="minorHAnsi" w:cstheme="minorHAnsi"/>
        </w:rPr>
        <w:t xml:space="preserve">s application of </w:t>
      </w:r>
      <w:r w:rsidR="00F47786" w:rsidRPr="006450FB">
        <w:rPr>
          <w:rFonts w:asciiTheme="minorHAnsi" w:hAnsiTheme="minorHAnsi" w:cstheme="minorHAnsi"/>
          <w:i/>
          <w:iCs/>
        </w:rPr>
        <w:t>Re NZ Medical Association</w:t>
      </w:r>
      <w:r w:rsidR="001133DB" w:rsidRPr="006450FB">
        <w:rPr>
          <w:rFonts w:asciiTheme="minorHAnsi" w:hAnsiTheme="minorHAnsi" w:cstheme="minorHAnsi"/>
        </w:rPr>
        <w:t>. The Court considered there was plainly no</w:t>
      </w:r>
      <w:r w:rsidR="007638F8" w:rsidRPr="006450FB">
        <w:rPr>
          <w:rFonts w:asciiTheme="minorHAnsi" w:hAnsiTheme="minorHAnsi" w:cstheme="minorHAnsi"/>
        </w:rPr>
        <w:t xml:space="preserve"> trade, business, industry, profession, </w:t>
      </w:r>
      <w:r w:rsidR="00BB5D73" w:rsidRPr="006450FB">
        <w:rPr>
          <w:rFonts w:asciiTheme="minorHAnsi" w:hAnsiTheme="minorHAnsi" w:cstheme="minorHAnsi"/>
        </w:rPr>
        <w:t xml:space="preserve">or </w:t>
      </w:r>
      <w:r w:rsidR="007638F8" w:rsidRPr="006450FB">
        <w:rPr>
          <w:rFonts w:asciiTheme="minorHAnsi" w:hAnsiTheme="minorHAnsi" w:cstheme="minorHAnsi"/>
        </w:rPr>
        <w:t>occupation</w:t>
      </w:r>
      <w:r w:rsidR="00BB5D73" w:rsidRPr="006450FB">
        <w:rPr>
          <w:rFonts w:asciiTheme="minorHAnsi" w:hAnsiTheme="minorHAnsi" w:cstheme="minorHAnsi"/>
        </w:rPr>
        <w:t xml:space="preserve"> involved</w:t>
      </w:r>
      <w:r w:rsidR="007638F8" w:rsidRPr="006450FB">
        <w:rPr>
          <w:rFonts w:asciiTheme="minorHAnsi" w:hAnsiTheme="minorHAnsi" w:cstheme="minorHAnsi"/>
        </w:rPr>
        <w:t xml:space="preserve">, </w:t>
      </w:r>
      <w:r w:rsidR="000340E5" w:rsidRPr="006450FB">
        <w:rPr>
          <w:rFonts w:asciiTheme="minorHAnsi" w:hAnsiTheme="minorHAnsi" w:cstheme="minorHAnsi"/>
        </w:rPr>
        <w:t>and that the regulatory function was not an</w:t>
      </w:r>
      <w:r w:rsidR="007638F8" w:rsidRPr="006450FB">
        <w:rPr>
          <w:rFonts w:asciiTheme="minorHAnsi" w:hAnsiTheme="minorHAnsi" w:cstheme="minorHAnsi"/>
        </w:rPr>
        <w:t xml:space="preserve"> activity of commerce</w:t>
      </w:r>
      <w:r w:rsidR="000340E5" w:rsidRPr="006450FB">
        <w:rPr>
          <w:rFonts w:asciiTheme="minorHAnsi" w:hAnsiTheme="minorHAnsi" w:cstheme="minorHAnsi"/>
        </w:rPr>
        <w:t xml:space="preserve">, although it might affect it. The Court considered </w:t>
      </w:r>
      <w:r w:rsidR="00462799" w:rsidRPr="006450FB">
        <w:rPr>
          <w:rFonts w:asciiTheme="minorHAnsi" w:hAnsiTheme="minorHAnsi" w:cstheme="minorHAnsi"/>
        </w:rPr>
        <w:t>that</w:t>
      </w:r>
      <w:r w:rsidR="004A217B" w:rsidRPr="006450FB">
        <w:rPr>
          <w:rFonts w:asciiTheme="minorHAnsi" w:hAnsiTheme="minorHAnsi" w:cstheme="minorHAnsi"/>
        </w:rPr>
        <w:t xml:space="preserve"> the Minister’s functions</w:t>
      </w:r>
      <w:r w:rsidR="00462799" w:rsidRPr="006450FB">
        <w:rPr>
          <w:rFonts w:asciiTheme="minorHAnsi" w:hAnsiTheme="minorHAnsi" w:cstheme="minorHAnsi"/>
        </w:rPr>
        <w:t xml:space="preserve"> might involve an “</w:t>
      </w:r>
      <w:r w:rsidR="000340E5" w:rsidRPr="006450FB">
        <w:rPr>
          <w:rFonts w:asciiTheme="minorHAnsi" w:hAnsiTheme="minorHAnsi" w:cstheme="minorHAnsi"/>
        </w:rPr>
        <w:t>undertaking relating to the supply of goods and services</w:t>
      </w:r>
      <w:r w:rsidR="00462799" w:rsidRPr="006450FB">
        <w:rPr>
          <w:rFonts w:asciiTheme="minorHAnsi" w:hAnsiTheme="minorHAnsi" w:cstheme="minorHAnsi"/>
        </w:rPr>
        <w:t>”, but concluded:</w:t>
      </w:r>
      <w:r w:rsidR="008D0B0E" w:rsidRPr="006450FB">
        <w:rPr>
          <w:rStyle w:val="FootnoteReference"/>
          <w:rFonts w:asciiTheme="minorHAnsi" w:hAnsiTheme="minorHAnsi" w:cstheme="minorHAnsi"/>
          <w:sz w:val="24"/>
          <w:szCs w:val="32"/>
        </w:rPr>
        <w:footnoteReference w:id="80"/>
      </w:r>
    </w:p>
    <w:p w14:paraId="6082F609" w14:textId="77777777" w:rsidR="00ED7DEC" w:rsidRPr="006450FB" w:rsidRDefault="00ED7DEC" w:rsidP="00ED7DEC">
      <w:pPr>
        <w:pStyle w:val="TextindentedLR"/>
        <w:ind w:firstLine="0"/>
        <w:rPr>
          <w:rFonts w:asciiTheme="minorHAnsi" w:hAnsiTheme="minorHAnsi" w:cstheme="minorHAnsi"/>
        </w:rPr>
      </w:pPr>
    </w:p>
    <w:p w14:paraId="012A48AB" w14:textId="032667DB" w:rsidR="00391276" w:rsidRPr="006450FB" w:rsidRDefault="003F7314" w:rsidP="00ED7DEC">
      <w:pPr>
        <w:pStyle w:val="QuoteLR"/>
        <w:rPr>
          <w:rFonts w:asciiTheme="minorHAnsi" w:hAnsiTheme="minorHAnsi" w:cstheme="minorHAnsi"/>
        </w:rPr>
      </w:pPr>
      <w:r w:rsidRPr="006450FB">
        <w:rPr>
          <w:rFonts w:asciiTheme="minorHAnsi" w:hAnsiTheme="minorHAnsi" w:cstheme="minorHAnsi"/>
        </w:rPr>
        <w:t>However, we do not think the word “undertaking”</w:t>
      </w:r>
      <w:r w:rsidR="00ED7DEC" w:rsidRPr="006450FB">
        <w:rPr>
          <w:rFonts w:asciiTheme="minorHAnsi" w:hAnsiTheme="minorHAnsi" w:cstheme="minorHAnsi"/>
        </w:rPr>
        <w:t xml:space="preserve"> </w:t>
      </w:r>
      <w:r w:rsidRPr="006450FB">
        <w:rPr>
          <w:rFonts w:asciiTheme="minorHAnsi" w:hAnsiTheme="minorHAnsi" w:cstheme="minorHAnsi"/>
        </w:rPr>
        <w:t>— broad as it may be — is apt to describe the Minister</w:t>
      </w:r>
      <w:r w:rsidR="00E329DA" w:rsidRPr="006450FB">
        <w:rPr>
          <w:rFonts w:asciiTheme="minorHAnsi" w:hAnsiTheme="minorHAnsi" w:cstheme="minorHAnsi"/>
        </w:rPr>
        <w:t>’</w:t>
      </w:r>
      <w:r w:rsidRPr="006450FB">
        <w:rPr>
          <w:rFonts w:asciiTheme="minorHAnsi" w:hAnsiTheme="minorHAnsi" w:cstheme="minorHAnsi"/>
        </w:rPr>
        <w:t xml:space="preserve">s actions in deciding whether or not to specify a drug and impose conditions under s 99. That </w:t>
      </w:r>
      <w:r w:rsidRPr="006450FB">
        <w:rPr>
          <w:rFonts w:asciiTheme="minorHAnsi" w:hAnsiTheme="minorHAnsi" w:cstheme="minorHAnsi"/>
        </w:rPr>
        <w:lastRenderedPageBreak/>
        <w:t xml:space="preserve">word reflects the idea of settled activity or enterprise. The fact that there is a procedure for reference to a specialist committee for advice, and incorporation of her decision into the established </w:t>
      </w:r>
      <w:r w:rsidR="00AB1B87" w:rsidRPr="006450FB">
        <w:rPr>
          <w:rFonts w:asciiTheme="minorHAnsi" w:hAnsiTheme="minorHAnsi" w:cstheme="minorHAnsi"/>
        </w:rPr>
        <w:t>d</w:t>
      </w:r>
      <w:r w:rsidRPr="006450FB">
        <w:rPr>
          <w:rFonts w:asciiTheme="minorHAnsi" w:hAnsiTheme="minorHAnsi" w:cstheme="minorHAnsi"/>
        </w:rPr>
        <w:t xml:space="preserve">rug </w:t>
      </w:r>
      <w:r w:rsidR="00AB1B87" w:rsidRPr="006450FB">
        <w:rPr>
          <w:rFonts w:asciiTheme="minorHAnsi" w:hAnsiTheme="minorHAnsi" w:cstheme="minorHAnsi"/>
        </w:rPr>
        <w:t>t</w:t>
      </w:r>
      <w:r w:rsidRPr="006450FB">
        <w:rPr>
          <w:rFonts w:asciiTheme="minorHAnsi" w:hAnsiTheme="minorHAnsi" w:cstheme="minorHAnsi"/>
        </w:rPr>
        <w:t>ariff, does not convert the need for the Minister to make a series of separate decisions into “an undertaking” within the definition of trade. Moreover, having regard to the overall tenor of that definition and the general purpose of the Commerce Act, we consider that this word is meant to cover activity of a commercial nature only. It is not apt to describe the regulatory action for welfare purposes expected of her under s 99.</w:t>
      </w:r>
    </w:p>
    <w:p w14:paraId="32B00DA3" w14:textId="77777777" w:rsidR="00ED7DEC" w:rsidRPr="006450FB" w:rsidRDefault="00ED7DEC" w:rsidP="00ED7DEC">
      <w:pPr>
        <w:pStyle w:val="QuoteLR"/>
        <w:ind w:left="0"/>
        <w:rPr>
          <w:rFonts w:asciiTheme="minorHAnsi" w:hAnsiTheme="minorHAnsi" w:cstheme="minorHAnsi"/>
        </w:rPr>
      </w:pPr>
    </w:p>
    <w:p w14:paraId="411CDEF3" w14:textId="3A9990AA" w:rsidR="00391276" w:rsidRPr="006450FB" w:rsidRDefault="003C6AFB" w:rsidP="00ED7DEC">
      <w:pPr>
        <w:pStyle w:val="TextnoindentLR"/>
        <w:rPr>
          <w:rFonts w:asciiTheme="minorHAnsi" w:hAnsiTheme="minorHAnsi" w:cstheme="minorHAnsi"/>
        </w:rPr>
      </w:pPr>
      <w:r w:rsidRPr="006450FB">
        <w:rPr>
          <w:rFonts w:asciiTheme="minorHAnsi" w:hAnsiTheme="minorHAnsi" w:cstheme="minorHAnsi"/>
        </w:rPr>
        <w:t xml:space="preserve">Both the High Court and </w:t>
      </w:r>
      <w:r w:rsidR="008A2DA0" w:rsidRPr="006450FB">
        <w:rPr>
          <w:rFonts w:asciiTheme="minorHAnsi" w:hAnsiTheme="minorHAnsi" w:cstheme="minorHAnsi"/>
        </w:rPr>
        <w:t>Court</w:t>
      </w:r>
      <w:r w:rsidRPr="006450FB">
        <w:rPr>
          <w:rFonts w:asciiTheme="minorHAnsi" w:hAnsiTheme="minorHAnsi" w:cstheme="minorHAnsi"/>
        </w:rPr>
        <w:t xml:space="preserve"> of Appeal </w:t>
      </w:r>
      <w:r w:rsidR="008A2DA0" w:rsidRPr="006450FB">
        <w:rPr>
          <w:rFonts w:asciiTheme="minorHAnsi" w:hAnsiTheme="minorHAnsi" w:cstheme="minorHAnsi"/>
        </w:rPr>
        <w:t>went on</w:t>
      </w:r>
      <w:r w:rsidR="00D340D5" w:rsidRPr="006450FB">
        <w:rPr>
          <w:rFonts w:asciiTheme="minorHAnsi" w:hAnsiTheme="minorHAnsi" w:cstheme="minorHAnsi"/>
        </w:rPr>
        <w:t xml:space="preserve"> </w:t>
      </w:r>
      <w:r w:rsidR="008A2DA0" w:rsidRPr="006450FB">
        <w:rPr>
          <w:rFonts w:asciiTheme="minorHAnsi" w:hAnsiTheme="minorHAnsi" w:cstheme="minorHAnsi"/>
        </w:rPr>
        <w:t>to consider s</w:t>
      </w:r>
      <w:r w:rsidR="00427585" w:rsidRPr="006450FB">
        <w:rPr>
          <w:rFonts w:asciiTheme="minorHAnsi" w:hAnsiTheme="minorHAnsi" w:cstheme="minorHAnsi"/>
        </w:rPr>
        <w:t xml:space="preserve"> </w:t>
      </w:r>
      <w:r w:rsidR="008A2DA0" w:rsidRPr="006450FB">
        <w:rPr>
          <w:rFonts w:asciiTheme="minorHAnsi" w:hAnsiTheme="minorHAnsi" w:cstheme="minorHAnsi"/>
        </w:rPr>
        <w:t>43</w:t>
      </w:r>
      <w:r w:rsidR="00C962FC" w:rsidRPr="006450FB">
        <w:rPr>
          <w:rFonts w:asciiTheme="minorHAnsi" w:hAnsiTheme="minorHAnsi" w:cstheme="minorHAnsi"/>
        </w:rPr>
        <w:t xml:space="preserve">(1) finding </w:t>
      </w:r>
      <w:r w:rsidR="00992DFE" w:rsidRPr="006450FB">
        <w:rPr>
          <w:rFonts w:asciiTheme="minorHAnsi" w:hAnsiTheme="minorHAnsi" w:cstheme="minorHAnsi"/>
        </w:rPr>
        <w:t xml:space="preserve">that if it were wrong as to whether the Minister was in trade, </w:t>
      </w:r>
      <w:r w:rsidR="00C962FC" w:rsidRPr="006450FB">
        <w:rPr>
          <w:rFonts w:asciiTheme="minorHAnsi" w:hAnsiTheme="minorHAnsi" w:cstheme="minorHAnsi"/>
        </w:rPr>
        <w:t xml:space="preserve">the </w:t>
      </w:r>
      <w:r w:rsidR="00D340D5" w:rsidRPr="006450FB">
        <w:rPr>
          <w:rFonts w:asciiTheme="minorHAnsi" w:hAnsiTheme="minorHAnsi" w:cstheme="minorHAnsi"/>
        </w:rPr>
        <w:t xml:space="preserve">relevant statutory provisions were more even more specific than </w:t>
      </w:r>
      <w:r w:rsidR="00363374" w:rsidRPr="006450FB">
        <w:rPr>
          <w:rFonts w:asciiTheme="minorHAnsi" w:hAnsiTheme="minorHAnsi" w:cstheme="minorHAnsi"/>
        </w:rPr>
        <w:t xml:space="preserve">in the Court of Appeal’s decision in </w:t>
      </w:r>
      <w:r w:rsidR="00363374" w:rsidRPr="006450FB">
        <w:rPr>
          <w:rFonts w:asciiTheme="minorHAnsi" w:hAnsiTheme="minorHAnsi" w:cstheme="minorHAnsi"/>
          <w:i/>
          <w:iCs/>
        </w:rPr>
        <w:t>Apple</w:t>
      </w:r>
      <w:r w:rsidR="00417DA8" w:rsidRPr="006450FB">
        <w:rPr>
          <w:rFonts w:asciiTheme="minorHAnsi" w:hAnsiTheme="minorHAnsi" w:cstheme="minorHAnsi"/>
          <w:i/>
          <w:iCs/>
        </w:rPr>
        <w:t xml:space="preserve"> F</w:t>
      </w:r>
      <w:r w:rsidR="00363374" w:rsidRPr="006450FB">
        <w:rPr>
          <w:rFonts w:asciiTheme="minorHAnsi" w:hAnsiTheme="minorHAnsi" w:cstheme="minorHAnsi"/>
          <w:i/>
          <w:iCs/>
        </w:rPr>
        <w:t>ields</w:t>
      </w:r>
      <w:r w:rsidR="00363374" w:rsidRPr="006450FB">
        <w:rPr>
          <w:rFonts w:asciiTheme="minorHAnsi" w:hAnsiTheme="minorHAnsi" w:cstheme="minorHAnsi"/>
        </w:rPr>
        <w:t>, and that s 43(1) would apply.</w:t>
      </w:r>
      <w:r w:rsidR="00363374" w:rsidRPr="006450FB">
        <w:rPr>
          <w:rStyle w:val="FootnoteReference"/>
          <w:rFonts w:asciiTheme="minorHAnsi" w:hAnsiTheme="minorHAnsi" w:cstheme="minorHAnsi"/>
          <w:sz w:val="24"/>
          <w:szCs w:val="32"/>
        </w:rPr>
        <w:footnoteReference w:id="81"/>
      </w:r>
      <w:r w:rsidR="00363374" w:rsidRPr="006450FB">
        <w:rPr>
          <w:rFonts w:asciiTheme="minorHAnsi" w:hAnsiTheme="minorHAnsi" w:cstheme="minorHAnsi"/>
        </w:rPr>
        <w:t xml:space="preserve"> </w:t>
      </w:r>
      <w:r w:rsidR="00767CAF" w:rsidRPr="006450FB">
        <w:rPr>
          <w:rFonts w:asciiTheme="minorHAnsi" w:hAnsiTheme="minorHAnsi" w:cstheme="minorHAnsi"/>
        </w:rPr>
        <w:t>As noted previously, t</w:t>
      </w:r>
      <w:r w:rsidR="00363374" w:rsidRPr="006450FB">
        <w:rPr>
          <w:rFonts w:asciiTheme="minorHAnsi" w:hAnsiTheme="minorHAnsi" w:cstheme="minorHAnsi"/>
        </w:rPr>
        <w:t>he Privy Council overturned th</w:t>
      </w:r>
      <w:r w:rsidR="00767CAF" w:rsidRPr="006450FB">
        <w:rPr>
          <w:rFonts w:asciiTheme="minorHAnsi" w:hAnsiTheme="minorHAnsi" w:cstheme="minorHAnsi"/>
        </w:rPr>
        <w:t>at</w:t>
      </w:r>
      <w:r w:rsidR="00363374" w:rsidRPr="006450FB">
        <w:rPr>
          <w:rFonts w:asciiTheme="minorHAnsi" w:hAnsiTheme="minorHAnsi" w:cstheme="minorHAnsi"/>
        </w:rPr>
        <w:t xml:space="preserve"> decision</w:t>
      </w:r>
      <w:r w:rsidR="005005AE" w:rsidRPr="006450FB">
        <w:rPr>
          <w:rFonts w:asciiTheme="minorHAnsi" w:hAnsiTheme="minorHAnsi" w:cstheme="minorHAnsi"/>
        </w:rPr>
        <w:t>.</w:t>
      </w:r>
    </w:p>
    <w:p w14:paraId="0EE4C2FC" w14:textId="5CAEEC0E" w:rsidR="00391276" w:rsidRPr="006450FB" w:rsidRDefault="00600423" w:rsidP="00ED7DEC">
      <w:pPr>
        <w:pStyle w:val="TextindentedLR"/>
        <w:rPr>
          <w:rFonts w:asciiTheme="minorHAnsi" w:hAnsiTheme="minorHAnsi" w:cstheme="minorHAnsi"/>
        </w:rPr>
      </w:pPr>
      <w:r w:rsidRPr="006450FB">
        <w:rPr>
          <w:rFonts w:asciiTheme="minorHAnsi" w:hAnsiTheme="minorHAnsi" w:cstheme="minorHAnsi"/>
        </w:rPr>
        <w:t xml:space="preserve">The decision in </w:t>
      </w:r>
      <w:r w:rsidRPr="006450FB">
        <w:rPr>
          <w:rFonts w:asciiTheme="minorHAnsi" w:hAnsiTheme="minorHAnsi" w:cstheme="minorHAnsi"/>
          <w:i/>
          <w:iCs/>
        </w:rPr>
        <w:t>Glaxo</w:t>
      </w:r>
      <w:r w:rsidRPr="006450FB">
        <w:rPr>
          <w:rFonts w:asciiTheme="minorHAnsi" w:hAnsiTheme="minorHAnsi" w:cstheme="minorHAnsi"/>
        </w:rPr>
        <w:t xml:space="preserve"> was not, however, the final word on </w:t>
      </w:r>
      <w:r w:rsidR="000A4033" w:rsidRPr="006450FB">
        <w:rPr>
          <w:rFonts w:asciiTheme="minorHAnsi" w:hAnsiTheme="minorHAnsi" w:cstheme="minorHAnsi"/>
        </w:rPr>
        <w:t xml:space="preserve">the Crown’s role in </w:t>
      </w:r>
      <w:r w:rsidRPr="006450FB">
        <w:rPr>
          <w:rFonts w:asciiTheme="minorHAnsi" w:hAnsiTheme="minorHAnsi" w:cstheme="minorHAnsi"/>
        </w:rPr>
        <w:t xml:space="preserve">pharmaceutical funding. </w:t>
      </w:r>
      <w:r w:rsidR="0035200E" w:rsidRPr="006450FB">
        <w:rPr>
          <w:rFonts w:asciiTheme="minorHAnsi" w:hAnsiTheme="minorHAnsi" w:cstheme="minorHAnsi"/>
        </w:rPr>
        <w:t xml:space="preserve">In </w:t>
      </w:r>
      <w:r w:rsidR="00027A63" w:rsidRPr="006450FB">
        <w:rPr>
          <w:rFonts w:asciiTheme="minorHAnsi" w:hAnsiTheme="minorHAnsi" w:cstheme="minorHAnsi"/>
          <w:i/>
          <w:iCs/>
        </w:rPr>
        <w:t xml:space="preserve">Astra Pharmaceutical </w:t>
      </w:r>
      <w:r w:rsidR="00977260" w:rsidRPr="006450FB">
        <w:rPr>
          <w:rFonts w:asciiTheme="minorHAnsi" w:hAnsiTheme="minorHAnsi" w:cstheme="minorHAnsi"/>
          <w:i/>
          <w:iCs/>
        </w:rPr>
        <w:t>v Pharmaceutical Management Agency</w:t>
      </w:r>
      <w:r w:rsidR="00977260" w:rsidRPr="006450FB">
        <w:rPr>
          <w:rFonts w:asciiTheme="minorHAnsi" w:hAnsiTheme="minorHAnsi" w:cstheme="minorHAnsi"/>
        </w:rPr>
        <w:t xml:space="preserve">, </w:t>
      </w:r>
      <w:r w:rsidR="00C4245C" w:rsidRPr="006450FB">
        <w:rPr>
          <w:rFonts w:asciiTheme="minorHAnsi" w:hAnsiTheme="minorHAnsi" w:cstheme="minorHAnsi"/>
        </w:rPr>
        <w:t xml:space="preserve">Astra brought a claim against Pharmac in relation </w:t>
      </w:r>
      <w:r w:rsidR="00DA2840" w:rsidRPr="006450FB">
        <w:rPr>
          <w:rFonts w:asciiTheme="minorHAnsi" w:hAnsiTheme="minorHAnsi" w:cstheme="minorHAnsi"/>
        </w:rPr>
        <w:t xml:space="preserve">the listing of </w:t>
      </w:r>
      <w:r w:rsidR="006A4BD7" w:rsidRPr="006450FB">
        <w:rPr>
          <w:rFonts w:asciiTheme="minorHAnsi" w:hAnsiTheme="minorHAnsi" w:cstheme="minorHAnsi"/>
        </w:rPr>
        <w:t>drug known as Losec</w:t>
      </w:r>
      <w:r w:rsidR="00977260" w:rsidRPr="006450FB">
        <w:rPr>
          <w:rFonts w:asciiTheme="minorHAnsi" w:hAnsiTheme="minorHAnsi" w:cstheme="minorHAnsi"/>
        </w:rPr>
        <w:t>.</w:t>
      </w:r>
      <w:r w:rsidR="00977260" w:rsidRPr="006450FB">
        <w:rPr>
          <w:rStyle w:val="FootnoteReference"/>
          <w:rFonts w:asciiTheme="minorHAnsi" w:hAnsiTheme="minorHAnsi" w:cstheme="minorHAnsi"/>
          <w:sz w:val="24"/>
          <w:szCs w:val="32"/>
        </w:rPr>
        <w:footnoteReference w:id="82"/>
      </w:r>
      <w:r w:rsidR="006A4BD7" w:rsidRPr="006450FB">
        <w:rPr>
          <w:rFonts w:asciiTheme="minorHAnsi" w:hAnsiTheme="minorHAnsi" w:cstheme="minorHAnsi"/>
        </w:rPr>
        <w:t xml:space="preserve"> </w:t>
      </w:r>
      <w:r w:rsidR="00E348CE" w:rsidRPr="006450FB">
        <w:rPr>
          <w:rFonts w:asciiTheme="minorHAnsi" w:hAnsiTheme="minorHAnsi" w:cstheme="minorHAnsi"/>
        </w:rPr>
        <w:t xml:space="preserve">One of </w:t>
      </w:r>
      <w:r w:rsidR="006A4BD7" w:rsidRPr="006450FB">
        <w:rPr>
          <w:rFonts w:asciiTheme="minorHAnsi" w:hAnsiTheme="minorHAnsi" w:cstheme="minorHAnsi"/>
        </w:rPr>
        <w:t>Astra</w:t>
      </w:r>
      <w:r w:rsidR="00E348CE" w:rsidRPr="006450FB">
        <w:rPr>
          <w:rFonts w:asciiTheme="minorHAnsi" w:hAnsiTheme="minorHAnsi" w:cstheme="minorHAnsi"/>
        </w:rPr>
        <w:t xml:space="preserve">’s claims was that </w:t>
      </w:r>
      <w:r w:rsidR="006A4BD7" w:rsidRPr="006450FB">
        <w:rPr>
          <w:rFonts w:asciiTheme="minorHAnsi" w:hAnsiTheme="minorHAnsi" w:cstheme="minorHAnsi"/>
        </w:rPr>
        <w:t>Pharmac had</w:t>
      </w:r>
      <w:r w:rsidR="00E348CE" w:rsidRPr="006450FB">
        <w:rPr>
          <w:rFonts w:asciiTheme="minorHAnsi" w:hAnsiTheme="minorHAnsi" w:cstheme="minorHAnsi"/>
        </w:rPr>
        <w:t>, in trade, contravened the Fair Trading Act.</w:t>
      </w:r>
    </w:p>
    <w:p w14:paraId="26815ABD" w14:textId="5B367334" w:rsidR="00391276" w:rsidRPr="006450FB" w:rsidRDefault="00410894" w:rsidP="00ED7DEC">
      <w:pPr>
        <w:pStyle w:val="TextindentedLR"/>
        <w:rPr>
          <w:rFonts w:asciiTheme="minorHAnsi" w:hAnsiTheme="minorHAnsi" w:cstheme="minorHAnsi"/>
        </w:rPr>
      </w:pPr>
      <w:r w:rsidRPr="006450FB">
        <w:rPr>
          <w:rFonts w:asciiTheme="minorHAnsi" w:hAnsiTheme="minorHAnsi" w:cstheme="minorHAnsi"/>
        </w:rPr>
        <w:t xml:space="preserve">Gallen J declined to strike out the </w:t>
      </w:r>
      <w:r w:rsidR="00D0034A" w:rsidRPr="006450FB">
        <w:rPr>
          <w:rFonts w:asciiTheme="minorHAnsi" w:hAnsiTheme="minorHAnsi" w:cstheme="minorHAnsi"/>
        </w:rPr>
        <w:t>claim,</w:t>
      </w:r>
      <w:r w:rsidR="00606447" w:rsidRPr="006450FB">
        <w:rPr>
          <w:rFonts w:asciiTheme="minorHAnsi" w:hAnsiTheme="minorHAnsi" w:cstheme="minorHAnsi"/>
        </w:rPr>
        <w:t xml:space="preserve"> distinguishing </w:t>
      </w:r>
      <w:r w:rsidR="009A4FCD" w:rsidRPr="006450FB">
        <w:rPr>
          <w:rFonts w:asciiTheme="minorHAnsi" w:hAnsiTheme="minorHAnsi" w:cstheme="minorHAnsi"/>
        </w:rPr>
        <w:t>Pharmac</w:t>
      </w:r>
      <w:r w:rsidR="00606447" w:rsidRPr="006450FB">
        <w:rPr>
          <w:rFonts w:asciiTheme="minorHAnsi" w:hAnsiTheme="minorHAnsi" w:cstheme="minorHAnsi"/>
        </w:rPr>
        <w:t>’s function</w:t>
      </w:r>
      <w:r w:rsidR="0003026B" w:rsidRPr="006450FB">
        <w:rPr>
          <w:rFonts w:asciiTheme="minorHAnsi" w:hAnsiTheme="minorHAnsi" w:cstheme="minorHAnsi"/>
        </w:rPr>
        <w:t>s</w:t>
      </w:r>
      <w:r w:rsidR="00606447" w:rsidRPr="006450FB">
        <w:rPr>
          <w:rFonts w:asciiTheme="minorHAnsi" w:hAnsiTheme="minorHAnsi" w:cstheme="minorHAnsi"/>
        </w:rPr>
        <w:t xml:space="preserve"> from th</w:t>
      </w:r>
      <w:r w:rsidR="0003026B" w:rsidRPr="006450FB">
        <w:rPr>
          <w:rFonts w:asciiTheme="minorHAnsi" w:hAnsiTheme="minorHAnsi" w:cstheme="minorHAnsi"/>
        </w:rPr>
        <w:t>os</w:t>
      </w:r>
      <w:r w:rsidR="00606447" w:rsidRPr="006450FB">
        <w:rPr>
          <w:rFonts w:asciiTheme="minorHAnsi" w:hAnsiTheme="minorHAnsi" w:cstheme="minorHAnsi"/>
        </w:rPr>
        <w:t xml:space="preserve">e of the Minister in </w:t>
      </w:r>
      <w:r w:rsidR="00606447" w:rsidRPr="006450FB">
        <w:rPr>
          <w:rFonts w:asciiTheme="minorHAnsi" w:hAnsiTheme="minorHAnsi" w:cstheme="minorHAnsi"/>
          <w:i/>
          <w:iCs/>
        </w:rPr>
        <w:t>Glaxo</w:t>
      </w:r>
      <w:r w:rsidR="00AF3D1C" w:rsidRPr="006450FB">
        <w:rPr>
          <w:rFonts w:asciiTheme="minorHAnsi" w:hAnsiTheme="minorHAnsi" w:cstheme="minorHAnsi"/>
        </w:rPr>
        <w:t xml:space="preserve">, </w:t>
      </w:r>
      <w:r w:rsidR="00BF5148" w:rsidRPr="006450FB">
        <w:rPr>
          <w:rFonts w:asciiTheme="minorHAnsi" w:hAnsiTheme="minorHAnsi" w:cstheme="minorHAnsi"/>
        </w:rPr>
        <w:t>given their contractual and commercial nature</w:t>
      </w:r>
      <w:r w:rsidR="00606447" w:rsidRPr="006450FB">
        <w:rPr>
          <w:rFonts w:asciiTheme="minorHAnsi" w:hAnsiTheme="minorHAnsi" w:cstheme="minorHAnsi"/>
        </w:rPr>
        <w:t>:</w:t>
      </w:r>
      <w:r w:rsidR="000F56F8" w:rsidRPr="006450FB">
        <w:rPr>
          <w:rStyle w:val="FootnoteReference"/>
          <w:rFonts w:asciiTheme="minorHAnsi" w:hAnsiTheme="minorHAnsi" w:cstheme="minorHAnsi"/>
          <w:sz w:val="24"/>
          <w:szCs w:val="32"/>
        </w:rPr>
        <w:footnoteReference w:id="83"/>
      </w:r>
    </w:p>
    <w:p w14:paraId="67830ACB" w14:textId="77777777" w:rsidR="00ED7DEC" w:rsidRPr="006450FB" w:rsidRDefault="00ED7DEC" w:rsidP="00ED7DEC">
      <w:pPr>
        <w:pStyle w:val="TextindentedLR"/>
        <w:ind w:firstLine="0"/>
        <w:rPr>
          <w:rFonts w:asciiTheme="minorHAnsi" w:hAnsiTheme="minorHAnsi" w:cstheme="minorHAnsi"/>
        </w:rPr>
      </w:pPr>
    </w:p>
    <w:p w14:paraId="0B1A3E70" w14:textId="39C8D204" w:rsidR="004C34A5" w:rsidRPr="006450FB" w:rsidRDefault="00606447" w:rsidP="00ED7DEC">
      <w:pPr>
        <w:pStyle w:val="QuoteLR"/>
        <w:rPr>
          <w:rFonts w:asciiTheme="minorHAnsi" w:hAnsiTheme="minorHAnsi" w:cstheme="minorHAnsi"/>
        </w:rPr>
      </w:pPr>
      <w:r w:rsidRPr="006450FB">
        <w:rPr>
          <w:rFonts w:asciiTheme="minorHAnsi" w:hAnsiTheme="minorHAnsi" w:cstheme="minorHAnsi"/>
        </w:rPr>
        <w:t>[Glaxo]</w:t>
      </w:r>
      <w:r w:rsidR="004C34A5" w:rsidRPr="006450FB">
        <w:rPr>
          <w:rFonts w:asciiTheme="minorHAnsi" w:hAnsiTheme="minorHAnsi" w:cstheme="minorHAnsi"/>
        </w:rPr>
        <w:t xml:space="preserve"> indicates that wide as the section is, it is to be construed in context and with a degree of common sense. With respect, when a Minister in the situation of the Minister in the </w:t>
      </w:r>
      <w:r w:rsidR="004C34A5" w:rsidRPr="006450FB">
        <w:rPr>
          <w:rFonts w:asciiTheme="minorHAnsi" w:hAnsiTheme="minorHAnsi" w:cstheme="minorHAnsi"/>
          <w:i/>
          <w:iCs/>
        </w:rPr>
        <w:t>Glaxo</w:t>
      </w:r>
      <w:r w:rsidR="004C34A5" w:rsidRPr="006450FB">
        <w:rPr>
          <w:rFonts w:asciiTheme="minorHAnsi" w:hAnsiTheme="minorHAnsi" w:cstheme="minorHAnsi"/>
        </w:rPr>
        <w:t xml:space="preserve"> case is clearly engaged in regulatory activity which as a consequence will have some effect on commercial activity, it is straining common sense to regard the decision as having been made in trade. The situation in this case differs since the defendant was directly involved on a contractual basis and contemplated commercial gains or advantages.</w:t>
      </w:r>
    </w:p>
    <w:p w14:paraId="18ADAFE6" w14:textId="74B88846" w:rsidR="004C34A5" w:rsidRPr="006450FB" w:rsidRDefault="005A2E4F" w:rsidP="00ED7DEC">
      <w:pPr>
        <w:pStyle w:val="QuoteLR"/>
        <w:rPr>
          <w:rFonts w:asciiTheme="minorHAnsi" w:hAnsiTheme="minorHAnsi" w:cstheme="minorHAnsi"/>
        </w:rPr>
      </w:pPr>
      <w:r w:rsidRPr="006450FB">
        <w:rPr>
          <w:rFonts w:asciiTheme="minorHAnsi" w:hAnsiTheme="minorHAnsi" w:cstheme="minorHAnsi"/>
        </w:rPr>
        <w:t>…</w:t>
      </w:r>
    </w:p>
    <w:p w14:paraId="4261CB7D" w14:textId="666E4032" w:rsidR="00391276" w:rsidRPr="006450FB" w:rsidRDefault="005A2E4F" w:rsidP="00ED7DEC">
      <w:pPr>
        <w:pStyle w:val="QuoteLR"/>
        <w:rPr>
          <w:rFonts w:asciiTheme="minorHAnsi" w:hAnsiTheme="minorHAnsi" w:cstheme="minorHAnsi"/>
        </w:rPr>
      </w:pPr>
      <w:r w:rsidRPr="006450FB">
        <w:rPr>
          <w:rFonts w:asciiTheme="minorHAnsi" w:hAnsiTheme="minorHAnsi" w:cstheme="minorHAnsi"/>
        </w:rPr>
        <w:t>The evidence makes it clear that in the pursuit of its objectives, the defendant enters into arrangements with pharmaceutical providers designed to ensure that the overall consequence is a favourable one for the expenditure of public moneys in terms of such subsidies. Once however it enters into such arrangements, it can hardly be said that it is merely regulating the supply of pharmaceuticals. It could be said that the defendant trades off its advantage in one area in order to ensure advantages in another and once the matter is put in that way, it is in my view impossible to say that the defendant</w:t>
      </w:r>
      <w:r w:rsidR="00E329DA" w:rsidRPr="006450FB">
        <w:rPr>
          <w:rFonts w:asciiTheme="minorHAnsi" w:hAnsiTheme="minorHAnsi" w:cstheme="minorHAnsi"/>
        </w:rPr>
        <w:t>’</w:t>
      </w:r>
      <w:r w:rsidRPr="006450FB">
        <w:rPr>
          <w:rFonts w:asciiTheme="minorHAnsi" w:hAnsiTheme="minorHAnsi" w:cstheme="minorHAnsi"/>
        </w:rPr>
        <w:t>s activities do not come within the definition. They involve financial advantage to the defendant even if that is ultimately for the national good.</w:t>
      </w:r>
    </w:p>
    <w:p w14:paraId="174C175E" w14:textId="77777777" w:rsidR="00ED7DEC" w:rsidRPr="006450FB" w:rsidRDefault="00ED7DEC" w:rsidP="00ED7DEC">
      <w:pPr>
        <w:pStyle w:val="QuoteLR"/>
        <w:ind w:left="0"/>
        <w:rPr>
          <w:rFonts w:asciiTheme="minorHAnsi" w:hAnsiTheme="minorHAnsi" w:cstheme="minorHAnsi"/>
        </w:rPr>
      </w:pPr>
    </w:p>
    <w:p w14:paraId="4F0DFD94" w14:textId="68819B33" w:rsidR="00ED7DEC" w:rsidRPr="006450FB" w:rsidRDefault="009E44F2" w:rsidP="00ED7DEC">
      <w:pPr>
        <w:pStyle w:val="TextnoindentLR"/>
        <w:rPr>
          <w:rFonts w:asciiTheme="minorHAnsi" w:hAnsiTheme="minorHAnsi" w:cstheme="minorHAnsi"/>
        </w:rPr>
      </w:pPr>
      <w:r w:rsidRPr="006450FB">
        <w:rPr>
          <w:rFonts w:asciiTheme="minorHAnsi" w:hAnsiTheme="minorHAnsi" w:cstheme="minorHAnsi"/>
        </w:rPr>
        <w:t>Gallen J’s decision was upheld on appeal.</w:t>
      </w:r>
      <w:r w:rsidRPr="006450FB">
        <w:rPr>
          <w:rStyle w:val="FootnoteReference"/>
          <w:rFonts w:asciiTheme="minorHAnsi" w:hAnsiTheme="minorHAnsi" w:cstheme="minorHAnsi"/>
          <w:sz w:val="24"/>
          <w:szCs w:val="32"/>
        </w:rPr>
        <w:footnoteReference w:id="84"/>
      </w:r>
      <w:r w:rsidRPr="006450FB">
        <w:rPr>
          <w:rFonts w:asciiTheme="minorHAnsi" w:hAnsiTheme="minorHAnsi" w:cstheme="minorHAnsi"/>
        </w:rPr>
        <w:t xml:space="preserve"> </w:t>
      </w:r>
      <w:r w:rsidR="00B51503" w:rsidRPr="006450FB">
        <w:rPr>
          <w:rFonts w:asciiTheme="minorHAnsi" w:hAnsiTheme="minorHAnsi" w:cstheme="minorHAnsi"/>
        </w:rPr>
        <w:t xml:space="preserve">It is not entirely clear </w:t>
      </w:r>
      <w:r w:rsidR="00C46B0C" w:rsidRPr="006450FB">
        <w:rPr>
          <w:rFonts w:asciiTheme="minorHAnsi" w:hAnsiTheme="minorHAnsi" w:cstheme="minorHAnsi"/>
        </w:rPr>
        <w:t>from the</w:t>
      </w:r>
      <w:r w:rsidR="000F56F8" w:rsidRPr="006450FB">
        <w:rPr>
          <w:rFonts w:asciiTheme="minorHAnsi" w:hAnsiTheme="minorHAnsi" w:cstheme="minorHAnsi"/>
        </w:rPr>
        <w:t xml:space="preserve"> High Court</w:t>
      </w:r>
      <w:r w:rsidR="00C46B0C" w:rsidRPr="006450FB">
        <w:rPr>
          <w:rFonts w:asciiTheme="minorHAnsi" w:hAnsiTheme="minorHAnsi" w:cstheme="minorHAnsi"/>
        </w:rPr>
        <w:t xml:space="preserve"> judgment</w:t>
      </w:r>
      <w:r w:rsidR="00097851" w:rsidRPr="006450FB">
        <w:rPr>
          <w:rFonts w:asciiTheme="minorHAnsi" w:hAnsiTheme="minorHAnsi" w:cstheme="minorHAnsi"/>
        </w:rPr>
        <w:t xml:space="preserve"> or the judgment on appeal</w:t>
      </w:r>
      <w:r w:rsidR="00C46B0C" w:rsidRPr="006450FB">
        <w:rPr>
          <w:rFonts w:asciiTheme="minorHAnsi" w:hAnsiTheme="minorHAnsi" w:cstheme="minorHAnsi"/>
        </w:rPr>
        <w:t xml:space="preserve"> </w:t>
      </w:r>
      <w:r w:rsidR="00B51503" w:rsidRPr="006450FB">
        <w:rPr>
          <w:rFonts w:asciiTheme="minorHAnsi" w:hAnsiTheme="minorHAnsi" w:cstheme="minorHAnsi"/>
        </w:rPr>
        <w:t xml:space="preserve">what </w:t>
      </w:r>
      <w:r w:rsidR="00427585" w:rsidRPr="006450FB">
        <w:rPr>
          <w:rFonts w:asciiTheme="minorHAnsi" w:hAnsiTheme="minorHAnsi" w:cstheme="minorHAnsi"/>
        </w:rPr>
        <w:t>h</w:t>
      </w:r>
      <w:r w:rsidR="00B51503" w:rsidRPr="006450FB">
        <w:rPr>
          <w:rFonts w:asciiTheme="minorHAnsi" w:hAnsiTheme="minorHAnsi" w:cstheme="minorHAnsi"/>
        </w:rPr>
        <w:t xml:space="preserve">is Honour meant when referring to </w:t>
      </w:r>
      <w:r w:rsidR="00D73CCA" w:rsidRPr="006450FB">
        <w:rPr>
          <w:rFonts w:asciiTheme="minorHAnsi" w:hAnsiTheme="minorHAnsi" w:cstheme="minorHAnsi"/>
        </w:rPr>
        <w:t xml:space="preserve">“commercial gains” </w:t>
      </w:r>
      <w:r w:rsidR="002867EF" w:rsidRPr="006450FB">
        <w:rPr>
          <w:rFonts w:asciiTheme="minorHAnsi" w:hAnsiTheme="minorHAnsi" w:cstheme="minorHAnsi"/>
        </w:rPr>
        <w:t>and “financial advantage”</w:t>
      </w:r>
      <w:r w:rsidR="004F60E6" w:rsidRPr="006450FB">
        <w:rPr>
          <w:rFonts w:asciiTheme="minorHAnsi" w:hAnsiTheme="minorHAnsi" w:cstheme="minorHAnsi"/>
        </w:rPr>
        <w:t>.</w:t>
      </w:r>
      <w:r w:rsidR="00B51503" w:rsidRPr="006450FB">
        <w:rPr>
          <w:rFonts w:asciiTheme="minorHAnsi" w:hAnsiTheme="minorHAnsi" w:cstheme="minorHAnsi"/>
        </w:rPr>
        <w:t xml:space="preserve"> </w:t>
      </w:r>
      <w:r w:rsidR="004F60E6" w:rsidRPr="006450FB">
        <w:rPr>
          <w:rFonts w:asciiTheme="minorHAnsi" w:hAnsiTheme="minorHAnsi" w:cstheme="minorHAnsi"/>
        </w:rPr>
        <w:t>B</w:t>
      </w:r>
      <w:r w:rsidR="00B51503" w:rsidRPr="006450FB">
        <w:rPr>
          <w:rFonts w:asciiTheme="minorHAnsi" w:hAnsiTheme="minorHAnsi" w:cstheme="minorHAnsi"/>
        </w:rPr>
        <w:t>ut</w:t>
      </w:r>
      <w:r w:rsidR="00851765" w:rsidRPr="006450FB">
        <w:rPr>
          <w:rFonts w:asciiTheme="minorHAnsi" w:hAnsiTheme="minorHAnsi" w:cstheme="minorHAnsi"/>
        </w:rPr>
        <w:t xml:space="preserve"> the operation of Pharmac is well understood. It negotiates to achieve the best prices it can, </w:t>
      </w:r>
      <w:r w:rsidR="0010473A" w:rsidRPr="006450FB">
        <w:rPr>
          <w:rFonts w:asciiTheme="minorHAnsi" w:hAnsiTheme="minorHAnsi" w:cstheme="minorHAnsi"/>
        </w:rPr>
        <w:t>using savings to fund additional drug purchases.</w:t>
      </w:r>
      <w:r w:rsidR="001112A6" w:rsidRPr="006450FB">
        <w:rPr>
          <w:rFonts w:asciiTheme="minorHAnsi" w:hAnsiTheme="minorHAnsi" w:cstheme="minorHAnsi"/>
        </w:rPr>
        <w:t xml:space="preserve"> </w:t>
      </w:r>
      <w:r w:rsidR="00C10748" w:rsidRPr="006450FB">
        <w:rPr>
          <w:rFonts w:asciiTheme="minorHAnsi" w:hAnsiTheme="minorHAnsi" w:cstheme="minorHAnsi"/>
        </w:rPr>
        <w:t xml:space="preserve">If that is a </w:t>
      </w:r>
      <w:r w:rsidR="0066149B" w:rsidRPr="006450FB">
        <w:rPr>
          <w:rFonts w:asciiTheme="minorHAnsi" w:hAnsiTheme="minorHAnsi" w:cstheme="minorHAnsi"/>
        </w:rPr>
        <w:t>“</w:t>
      </w:r>
      <w:r w:rsidR="00C10748" w:rsidRPr="006450FB">
        <w:rPr>
          <w:rFonts w:asciiTheme="minorHAnsi" w:hAnsiTheme="minorHAnsi" w:cstheme="minorHAnsi"/>
        </w:rPr>
        <w:t>commercial gain</w:t>
      </w:r>
      <w:r w:rsidR="0066149B" w:rsidRPr="006450FB">
        <w:rPr>
          <w:rFonts w:asciiTheme="minorHAnsi" w:hAnsiTheme="minorHAnsi" w:cstheme="minorHAnsi"/>
        </w:rPr>
        <w:t>”</w:t>
      </w:r>
      <w:r w:rsidR="00C10748" w:rsidRPr="006450FB">
        <w:rPr>
          <w:rFonts w:asciiTheme="minorHAnsi" w:hAnsiTheme="minorHAnsi" w:cstheme="minorHAnsi"/>
        </w:rPr>
        <w:t xml:space="preserve"> then i</w:t>
      </w:r>
      <w:r w:rsidR="00C94F93" w:rsidRPr="006450FB">
        <w:rPr>
          <w:rFonts w:asciiTheme="minorHAnsi" w:hAnsiTheme="minorHAnsi" w:cstheme="minorHAnsi"/>
        </w:rPr>
        <w:t>t may be a common one.</w:t>
      </w:r>
      <w:r w:rsidR="004F60E6" w:rsidRPr="006450FB">
        <w:rPr>
          <w:rFonts w:asciiTheme="minorHAnsi" w:hAnsiTheme="minorHAnsi" w:cstheme="minorHAnsi"/>
        </w:rPr>
        <w:t xml:space="preserve"> </w:t>
      </w:r>
      <w:r w:rsidR="00C94F93" w:rsidRPr="006450FB">
        <w:rPr>
          <w:rFonts w:asciiTheme="minorHAnsi" w:hAnsiTheme="minorHAnsi" w:cstheme="minorHAnsi"/>
        </w:rPr>
        <w:t>G</w:t>
      </w:r>
      <w:r w:rsidR="006954B1" w:rsidRPr="006450FB">
        <w:rPr>
          <w:rFonts w:asciiTheme="minorHAnsi" w:hAnsiTheme="minorHAnsi" w:cstheme="minorHAnsi"/>
        </w:rPr>
        <w:t xml:space="preserve">overnment agencies </w:t>
      </w:r>
      <w:r w:rsidR="00C94F93" w:rsidRPr="006450FB">
        <w:rPr>
          <w:rFonts w:asciiTheme="minorHAnsi" w:hAnsiTheme="minorHAnsi" w:cstheme="minorHAnsi"/>
        </w:rPr>
        <w:t xml:space="preserve">who procure goods or services will frequently </w:t>
      </w:r>
      <w:r w:rsidR="00E2741B" w:rsidRPr="006450FB">
        <w:rPr>
          <w:rFonts w:asciiTheme="minorHAnsi" w:hAnsiTheme="minorHAnsi" w:cstheme="minorHAnsi"/>
        </w:rPr>
        <w:t>have a limited budget</w:t>
      </w:r>
      <w:r w:rsidR="00C94F93" w:rsidRPr="006450FB">
        <w:rPr>
          <w:rFonts w:asciiTheme="minorHAnsi" w:hAnsiTheme="minorHAnsi" w:cstheme="minorHAnsi"/>
        </w:rPr>
        <w:t xml:space="preserve">, and </w:t>
      </w:r>
      <w:r w:rsidR="00E2741B" w:rsidRPr="006450FB">
        <w:rPr>
          <w:rFonts w:asciiTheme="minorHAnsi" w:hAnsiTheme="minorHAnsi" w:cstheme="minorHAnsi"/>
        </w:rPr>
        <w:t xml:space="preserve">savings </w:t>
      </w:r>
      <w:r w:rsidR="007069B1" w:rsidRPr="006450FB">
        <w:rPr>
          <w:rFonts w:asciiTheme="minorHAnsi" w:hAnsiTheme="minorHAnsi" w:cstheme="minorHAnsi"/>
        </w:rPr>
        <w:t xml:space="preserve">on one contract may often </w:t>
      </w:r>
      <w:r w:rsidR="00FD1950" w:rsidRPr="006450FB">
        <w:rPr>
          <w:rFonts w:asciiTheme="minorHAnsi" w:hAnsiTheme="minorHAnsi" w:cstheme="minorHAnsi"/>
        </w:rPr>
        <w:t>be used to fund additional purchases</w:t>
      </w:r>
      <w:r w:rsidR="007069B1" w:rsidRPr="006450FB">
        <w:rPr>
          <w:rFonts w:asciiTheme="minorHAnsi" w:hAnsiTheme="minorHAnsi" w:cstheme="minorHAnsi"/>
        </w:rPr>
        <w:t xml:space="preserve"> on another</w:t>
      </w:r>
      <w:r w:rsidR="00FD1950" w:rsidRPr="006450FB">
        <w:rPr>
          <w:rFonts w:asciiTheme="minorHAnsi" w:hAnsiTheme="minorHAnsi" w:cstheme="minorHAnsi"/>
        </w:rPr>
        <w:t>.</w:t>
      </w:r>
    </w:p>
    <w:p w14:paraId="7101B4E9" w14:textId="4B71C8E6" w:rsidR="00391276" w:rsidRPr="006450FB" w:rsidRDefault="00363BFC" w:rsidP="00ED7DEC">
      <w:pPr>
        <w:pStyle w:val="TextindentedLR"/>
        <w:rPr>
          <w:rFonts w:asciiTheme="minorHAnsi" w:hAnsiTheme="minorHAnsi" w:cstheme="minorHAnsi"/>
        </w:rPr>
      </w:pPr>
      <w:r w:rsidRPr="006450FB">
        <w:rPr>
          <w:rFonts w:asciiTheme="minorHAnsi" w:hAnsiTheme="minorHAnsi" w:cstheme="minorHAnsi"/>
        </w:rPr>
        <w:t xml:space="preserve">At trial, </w:t>
      </w:r>
      <w:r w:rsidR="000F48F8" w:rsidRPr="006450FB">
        <w:rPr>
          <w:rFonts w:asciiTheme="minorHAnsi" w:hAnsiTheme="minorHAnsi" w:cstheme="minorHAnsi"/>
        </w:rPr>
        <w:t>Gendall J found that Pharmac was in trade</w:t>
      </w:r>
      <w:r w:rsidR="00E0177F" w:rsidRPr="006450FB">
        <w:rPr>
          <w:rFonts w:asciiTheme="minorHAnsi" w:hAnsiTheme="minorHAnsi" w:cstheme="minorHAnsi"/>
        </w:rPr>
        <w:t xml:space="preserve">, although the </w:t>
      </w:r>
      <w:r w:rsidR="00097851" w:rsidRPr="006450FB">
        <w:rPr>
          <w:rFonts w:asciiTheme="minorHAnsi" w:hAnsiTheme="minorHAnsi" w:cstheme="minorHAnsi"/>
        </w:rPr>
        <w:t xml:space="preserve">Fair Trading Act </w:t>
      </w:r>
      <w:r w:rsidR="00E0177F" w:rsidRPr="006450FB">
        <w:rPr>
          <w:rFonts w:asciiTheme="minorHAnsi" w:hAnsiTheme="minorHAnsi" w:cstheme="minorHAnsi"/>
        </w:rPr>
        <w:t>claim failed on the merits</w:t>
      </w:r>
      <w:r w:rsidR="000F48F8" w:rsidRPr="006450FB">
        <w:rPr>
          <w:rFonts w:asciiTheme="minorHAnsi" w:hAnsiTheme="minorHAnsi" w:cstheme="minorHAnsi"/>
        </w:rPr>
        <w:t>.</w:t>
      </w:r>
      <w:r w:rsidR="000F48F8" w:rsidRPr="006450FB">
        <w:rPr>
          <w:rStyle w:val="FootnoteReference"/>
          <w:rFonts w:asciiTheme="minorHAnsi" w:hAnsiTheme="minorHAnsi" w:cstheme="minorHAnsi"/>
          <w:sz w:val="24"/>
          <w:szCs w:val="32"/>
        </w:rPr>
        <w:footnoteReference w:id="85"/>
      </w:r>
      <w:r w:rsidR="00407772" w:rsidRPr="006450FB">
        <w:rPr>
          <w:rFonts w:asciiTheme="minorHAnsi" w:hAnsiTheme="minorHAnsi" w:cstheme="minorHAnsi"/>
        </w:rPr>
        <w:t xml:space="preserve"> His Honour</w:t>
      </w:r>
      <w:r w:rsidR="00E21AA5" w:rsidRPr="006450FB">
        <w:rPr>
          <w:rFonts w:asciiTheme="minorHAnsi" w:hAnsiTheme="minorHAnsi" w:cstheme="minorHAnsi"/>
        </w:rPr>
        <w:t xml:space="preserve"> </w:t>
      </w:r>
      <w:r w:rsidR="00AF79CC" w:rsidRPr="006450FB">
        <w:rPr>
          <w:rFonts w:asciiTheme="minorHAnsi" w:hAnsiTheme="minorHAnsi" w:cstheme="minorHAnsi"/>
        </w:rPr>
        <w:t>reached that conclusion on the basis that some of Pharmac’s functions were in trade, while others were not</w:t>
      </w:r>
      <w:r w:rsidR="007B1598" w:rsidRPr="006450FB">
        <w:rPr>
          <w:rFonts w:asciiTheme="minorHAnsi" w:hAnsiTheme="minorHAnsi" w:cstheme="minorHAnsi"/>
        </w:rPr>
        <w:t>:</w:t>
      </w:r>
      <w:r w:rsidR="00E21AA5" w:rsidRPr="006450FB">
        <w:rPr>
          <w:rStyle w:val="FootnoteReference"/>
          <w:rFonts w:asciiTheme="minorHAnsi" w:hAnsiTheme="minorHAnsi" w:cstheme="minorHAnsi"/>
          <w:sz w:val="24"/>
          <w:szCs w:val="32"/>
        </w:rPr>
        <w:footnoteReference w:id="86"/>
      </w:r>
    </w:p>
    <w:p w14:paraId="37CDAA39" w14:textId="77777777" w:rsidR="00ED7DEC" w:rsidRPr="006450FB" w:rsidRDefault="00ED7DEC" w:rsidP="00ED7DEC">
      <w:pPr>
        <w:pStyle w:val="TextindentedLR"/>
        <w:ind w:firstLine="0"/>
        <w:rPr>
          <w:rFonts w:asciiTheme="minorHAnsi" w:hAnsiTheme="minorHAnsi" w:cstheme="minorHAnsi"/>
        </w:rPr>
      </w:pPr>
    </w:p>
    <w:p w14:paraId="6EF215B3" w14:textId="49C177D7" w:rsidR="00391276" w:rsidRPr="006450FB" w:rsidRDefault="00407772" w:rsidP="00ED7DEC">
      <w:pPr>
        <w:pStyle w:val="QuoteLR"/>
        <w:rPr>
          <w:rFonts w:asciiTheme="minorHAnsi" w:hAnsiTheme="minorHAnsi" w:cstheme="minorHAnsi"/>
        </w:rPr>
      </w:pPr>
      <w:r w:rsidRPr="006450FB">
        <w:rPr>
          <w:rFonts w:asciiTheme="minorHAnsi" w:hAnsiTheme="minorHAnsi" w:cstheme="minorHAnsi"/>
        </w:rPr>
        <w:t>It is possible for a person to act in trade for some purpose and not in trade for other purposes. … That is the case here. Whilst Pharmac has responsibilities to manage public funds, and act as a regulatory body, as well as to comply with the OIA, nevertheless it also, in my view, acts in trade in reaching contractual agreements with suppliers of pharmaceuticals.</w:t>
      </w:r>
    </w:p>
    <w:p w14:paraId="14E50D51" w14:textId="77777777" w:rsidR="00ED7DEC" w:rsidRPr="006450FB" w:rsidRDefault="00ED7DEC" w:rsidP="00ED7DEC">
      <w:pPr>
        <w:pStyle w:val="QuoteLR"/>
        <w:ind w:left="0"/>
        <w:rPr>
          <w:rFonts w:asciiTheme="minorHAnsi" w:hAnsiTheme="minorHAnsi" w:cstheme="minorHAnsi"/>
        </w:rPr>
      </w:pPr>
    </w:p>
    <w:p w14:paraId="75FF2897" w14:textId="6312AB89" w:rsidR="00391276" w:rsidRPr="006450FB" w:rsidRDefault="000A10E1" w:rsidP="00ED7DEC">
      <w:pPr>
        <w:pStyle w:val="TextnoindentLR"/>
        <w:rPr>
          <w:rFonts w:asciiTheme="minorHAnsi" w:hAnsiTheme="minorHAnsi" w:cstheme="minorHAnsi"/>
        </w:rPr>
      </w:pPr>
      <w:r w:rsidRPr="006450FB">
        <w:rPr>
          <w:rFonts w:asciiTheme="minorHAnsi" w:hAnsiTheme="minorHAnsi" w:cstheme="minorHAnsi"/>
          <w:i/>
          <w:iCs/>
        </w:rPr>
        <w:t>Glaxo</w:t>
      </w:r>
      <w:r w:rsidRPr="006450FB">
        <w:rPr>
          <w:rFonts w:asciiTheme="minorHAnsi" w:hAnsiTheme="minorHAnsi" w:cstheme="minorHAnsi"/>
        </w:rPr>
        <w:t xml:space="preserve"> has been followed </w:t>
      </w:r>
      <w:r w:rsidR="002B65E4" w:rsidRPr="006450FB">
        <w:rPr>
          <w:rFonts w:asciiTheme="minorHAnsi" w:hAnsiTheme="minorHAnsi" w:cstheme="minorHAnsi"/>
        </w:rPr>
        <w:t>consistently</w:t>
      </w:r>
      <w:r w:rsidR="0003026B" w:rsidRPr="006450FB">
        <w:rPr>
          <w:rFonts w:asciiTheme="minorHAnsi" w:hAnsiTheme="minorHAnsi" w:cstheme="minorHAnsi"/>
        </w:rPr>
        <w:t>,</w:t>
      </w:r>
      <w:r w:rsidR="002B65E4" w:rsidRPr="006450FB">
        <w:rPr>
          <w:rFonts w:asciiTheme="minorHAnsi" w:hAnsiTheme="minorHAnsi" w:cstheme="minorHAnsi"/>
        </w:rPr>
        <w:t xml:space="preserve"> albeit</w:t>
      </w:r>
      <w:r w:rsidR="0003026B" w:rsidRPr="006450FB">
        <w:rPr>
          <w:rFonts w:asciiTheme="minorHAnsi" w:hAnsiTheme="minorHAnsi" w:cstheme="minorHAnsi"/>
        </w:rPr>
        <w:t xml:space="preserve"> mostly</w:t>
      </w:r>
      <w:r w:rsidR="00126993" w:rsidRPr="006450FB">
        <w:rPr>
          <w:rFonts w:asciiTheme="minorHAnsi" w:hAnsiTheme="minorHAnsi" w:cstheme="minorHAnsi"/>
        </w:rPr>
        <w:t xml:space="preserve"> in the context of the Fair Trading Act</w:t>
      </w:r>
      <w:r w:rsidR="008658C4" w:rsidRPr="006450FB">
        <w:rPr>
          <w:rFonts w:asciiTheme="minorHAnsi" w:hAnsiTheme="minorHAnsi" w:cstheme="minorHAnsi"/>
        </w:rPr>
        <w:t xml:space="preserve">, although the later decision in </w:t>
      </w:r>
      <w:r w:rsidR="008658C4" w:rsidRPr="006450FB">
        <w:rPr>
          <w:rFonts w:asciiTheme="minorHAnsi" w:hAnsiTheme="minorHAnsi" w:cstheme="minorHAnsi"/>
          <w:i/>
          <w:iCs/>
        </w:rPr>
        <w:t>Astra</w:t>
      </w:r>
      <w:r w:rsidR="008658C4" w:rsidRPr="006450FB">
        <w:rPr>
          <w:rFonts w:asciiTheme="minorHAnsi" w:hAnsiTheme="minorHAnsi" w:cstheme="minorHAnsi"/>
        </w:rPr>
        <w:t xml:space="preserve"> </w:t>
      </w:r>
      <w:r w:rsidR="00892F0D" w:rsidRPr="006450FB">
        <w:rPr>
          <w:rFonts w:asciiTheme="minorHAnsi" w:hAnsiTheme="minorHAnsi" w:cstheme="minorHAnsi"/>
          <w:i/>
          <w:iCs/>
        </w:rPr>
        <w:t>Pharmaceuticals</w:t>
      </w:r>
      <w:r w:rsidR="00892F0D" w:rsidRPr="006450FB">
        <w:rPr>
          <w:rFonts w:asciiTheme="minorHAnsi" w:hAnsiTheme="minorHAnsi" w:cstheme="minorHAnsi"/>
        </w:rPr>
        <w:t xml:space="preserve"> a</w:t>
      </w:r>
      <w:r w:rsidR="008658C4" w:rsidRPr="006450FB">
        <w:rPr>
          <w:rFonts w:asciiTheme="minorHAnsi" w:hAnsiTheme="minorHAnsi" w:cstheme="minorHAnsi"/>
        </w:rPr>
        <w:t>ppears to have been largely overlook</w:t>
      </w:r>
      <w:r w:rsidR="00892F0D" w:rsidRPr="006450FB">
        <w:rPr>
          <w:rFonts w:asciiTheme="minorHAnsi" w:hAnsiTheme="minorHAnsi" w:cstheme="minorHAnsi"/>
        </w:rPr>
        <w:t>ed</w:t>
      </w:r>
      <w:r w:rsidRPr="006450FB">
        <w:rPr>
          <w:rFonts w:asciiTheme="minorHAnsi" w:hAnsiTheme="minorHAnsi" w:cstheme="minorHAnsi"/>
        </w:rPr>
        <w:t>.</w:t>
      </w:r>
      <w:r w:rsidR="0003026B" w:rsidRPr="006450FB">
        <w:rPr>
          <w:rStyle w:val="FootnoteReference"/>
          <w:rFonts w:asciiTheme="minorHAnsi" w:hAnsiTheme="minorHAnsi" w:cstheme="minorHAnsi"/>
          <w:sz w:val="24"/>
          <w:szCs w:val="32"/>
        </w:rPr>
        <w:footnoteReference w:id="87"/>
      </w:r>
      <w:r w:rsidR="002515FE" w:rsidRPr="006450FB">
        <w:rPr>
          <w:rFonts w:asciiTheme="minorHAnsi" w:hAnsiTheme="minorHAnsi" w:cstheme="minorHAnsi"/>
        </w:rPr>
        <w:t xml:space="preserve"> </w:t>
      </w:r>
      <w:r w:rsidR="00656E7B" w:rsidRPr="006450FB">
        <w:rPr>
          <w:rFonts w:asciiTheme="minorHAnsi" w:hAnsiTheme="minorHAnsi" w:cstheme="minorHAnsi"/>
        </w:rPr>
        <w:t xml:space="preserve">The result </w:t>
      </w:r>
      <w:r w:rsidR="00EB08E1" w:rsidRPr="006450FB">
        <w:rPr>
          <w:rFonts w:asciiTheme="minorHAnsi" w:hAnsiTheme="minorHAnsi" w:cstheme="minorHAnsi"/>
        </w:rPr>
        <w:t xml:space="preserve">of applying </w:t>
      </w:r>
      <w:r w:rsidR="00EB08E1" w:rsidRPr="006450FB">
        <w:rPr>
          <w:rFonts w:asciiTheme="minorHAnsi" w:hAnsiTheme="minorHAnsi" w:cstheme="minorHAnsi"/>
          <w:i/>
          <w:iCs/>
        </w:rPr>
        <w:t>Glaxo</w:t>
      </w:r>
      <w:r w:rsidR="00EB08E1" w:rsidRPr="006450FB">
        <w:rPr>
          <w:rFonts w:asciiTheme="minorHAnsi" w:hAnsiTheme="minorHAnsi" w:cstheme="minorHAnsi"/>
        </w:rPr>
        <w:t xml:space="preserve"> </w:t>
      </w:r>
      <w:r w:rsidR="00656E7B" w:rsidRPr="006450FB">
        <w:rPr>
          <w:rFonts w:asciiTheme="minorHAnsi" w:hAnsiTheme="minorHAnsi" w:cstheme="minorHAnsi"/>
        </w:rPr>
        <w:t>has invariably been that the</w:t>
      </w:r>
      <w:r w:rsidR="00263BB7" w:rsidRPr="006450FB">
        <w:rPr>
          <w:rFonts w:asciiTheme="minorHAnsi" w:hAnsiTheme="minorHAnsi" w:cstheme="minorHAnsi"/>
        </w:rPr>
        <w:t xml:space="preserve"> relevant function is not in trade.</w:t>
      </w:r>
      <w:r w:rsidR="002515FE" w:rsidRPr="006450FB">
        <w:rPr>
          <w:rFonts w:asciiTheme="minorHAnsi" w:hAnsiTheme="minorHAnsi" w:cstheme="minorHAnsi"/>
        </w:rPr>
        <w:t xml:space="preserve"> </w:t>
      </w:r>
      <w:r w:rsidR="008658C4" w:rsidRPr="006450FB">
        <w:rPr>
          <w:rFonts w:asciiTheme="minorHAnsi" w:hAnsiTheme="minorHAnsi" w:cstheme="minorHAnsi"/>
          <w:i/>
          <w:iCs/>
        </w:rPr>
        <w:t>Glaxo</w:t>
      </w:r>
      <w:r w:rsidR="002B65E4" w:rsidRPr="006450FB">
        <w:rPr>
          <w:rFonts w:asciiTheme="minorHAnsi" w:hAnsiTheme="minorHAnsi" w:cstheme="minorHAnsi"/>
        </w:rPr>
        <w:t xml:space="preserve"> has been applied in t</w:t>
      </w:r>
      <w:r w:rsidR="002515FE" w:rsidRPr="006450FB">
        <w:rPr>
          <w:rFonts w:asciiTheme="minorHAnsi" w:hAnsiTheme="minorHAnsi" w:cstheme="minorHAnsi"/>
        </w:rPr>
        <w:t>wo cases involving Commerce Act c</w:t>
      </w:r>
      <w:r w:rsidR="002B65E4" w:rsidRPr="006450FB">
        <w:rPr>
          <w:rFonts w:asciiTheme="minorHAnsi" w:hAnsiTheme="minorHAnsi" w:cstheme="minorHAnsi"/>
        </w:rPr>
        <w:t>laims.</w:t>
      </w:r>
    </w:p>
    <w:p w14:paraId="24C4D640" w14:textId="5E4B9CA1" w:rsidR="00391276" w:rsidRPr="006450FB" w:rsidRDefault="0003026B" w:rsidP="00ED7DEC">
      <w:pPr>
        <w:pStyle w:val="TextindentedLR"/>
        <w:rPr>
          <w:rFonts w:asciiTheme="minorHAnsi" w:hAnsiTheme="minorHAnsi" w:cstheme="minorHAnsi"/>
          <w:color w:val="000000"/>
          <w:shd w:val="clear" w:color="auto" w:fill="FFFFFF"/>
        </w:rPr>
      </w:pPr>
      <w:r w:rsidRPr="006450FB">
        <w:rPr>
          <w:rFonts w:asciiTheme="minorHAnsi" w:hAnsiTheme="minorHAnsi" w:cstheme="minorHAnsi"/>
        </w:rPr>
        <w:t xml:space="preserve">In </w:t>
      </w:r>
      <w:r w:rsidRPr="006450FB">
        <w:rPr>
          <w:rFonts w:asciiTheme="minorHAnsi" w:hAnsiTheme="minorHAnsi" w:cstheme="minorHAnsi"/>
          <w:i/>
          <w:iCs/>
          <w:color w:val="000000"/>
          <w:shd w:val="clear" w:color="auto" w:fill="FFFFFF"/>
        </w:rPr>
        <w:t>Clee v Attorney-General</w:t>
      </w:r>
      <w:r w:rsidR="0066149B" w:rsidRPr="006450FB">
        <w:rPr>
          <w:rFonts w:asciiTheme="minorHAnsi" w:hAnsiTheme="minorHAnsi" w:cstheme="minorHAnsi"/>
          <w:color w:val="000000"/>
          <w:shd w:val="clear" w:color="auto" w:fill="FFFFFF"/>
        </w:rPr>
        <w:t xml:space="preserve"> </w:t>
      </w:r>
      <w:r w:rsidR="0066149B" w:rsidRPr="006450FB">
        <w:rPr>
          <w:rFonts w:asciiTheme="minorHAnsi" w:hAnsiTheme="minorHAnsi" w:cstheme="minorHAnsi"/>
          <w:i/>
          <w:iCs/>
          <w:color w:val="000000"/>
          <w:shd w:val="clear" w:color="auto" w:fill="FFFFFF"/>
        </w:rPr>
        <w:t>for the Legal Services Agency</w:t>
      </w:r>
      <w:r w:rsidRPr="006450FB">
        <w:rPr>
          <w:rFonts w:asciiTheme="minorHAnsi" w:hAnsiTheme="minorHAnsi" w:cstheme="minorHAnsi"/>
          <w:color w:val="000000"/>
          <w:shd w:val="clear" w:color="auto" w:fill="FFFFFF"/>
        </w:rPr>
        <w:t xml:space="preserve"> </w:t>
      </w:r>
      <w:r w:rsidRPr="006450FB">
        <w:rPr>
          <w:rFonts w:asciiTheme="minorHAnsi" w:hAnsiTheme="minorHAnsi" w:cstheme="minorHAnsi"/>
        </w:rPr>
        <w:t>the Crown was alleged to have contravened s</w:t>
      </w:r>
      <w:r w:rsidR="000E532D" w:rsidRPr="006450FB">
        <w:rPr>
          <w:rFonts w:asciiTheme="minorHAnsi" w:hAnsiTheme="minorHAnsi" w:cstheme="minorHAnsi"/>
        </w:rPr>
        <w:t xml:space="preserve"> </w:t>
      </w:r>
      <w:r w:rsidRPr="006450FB">
        <w:rPr>
          <w:rFonts w:asciiTheme="minorHAnsi" w:hAnsiTheme="minorHAnsi" w:cstheme="minorHAnsi"/>
        </w:rPr>
        <w:t>36</w:t>
      </w:r>
      <w:r w:rsidR="000E532D" w:rsidRPr="006450FB">
        <w:rPr>
          <w:rFonts w:asciiTheme="minorHAnsi" w:hAnsiTheme="minorHAnsi" w:cstheme="minorHAnsi"/>
        </w:rPr>
        <w:t xml:space="preserve"> of the Commerce Act</w:t>
      </w:r>
      <w:r w:rsidRPr="006450FB">
        <w:rPr>
          <w:rFonts w:asciiTheme="minorHAnsi" w:hAnsiTheme="minorHAnsi" w:cstheme="minorHAnsi"/>
        </w:rPr>
        <w:t xml:space="preserve"> by determining to change the way in which legal aid lawyers would be allocated to matters, removing defendant choice and reducing the potential for competition between lawyers</w:t>
      </w:r>
      <w:r w:rsidRPr="006450FB">
        <w:rPr>
          <w:rFonts w:asciiTheme="minorHAnsi" w:hAnsiTheme="minorHAnsi" w:cstheme="minorHAnsi"/>
          <w:color w:val="000000"/>
          <w:shd w:val="clear" w:color="auto" w:fill="FFFFFF"/>
        </w:rPr>
        <w:t>.</w:t>
      </w:r>
      <w:r w:rsidRPr="006450FB">
        <w:rPr>
          <w:rStyle w:val="FootnoteReference"/>
          <w:rFonts w:asciiTheme="minorHAnsi" w:hAnsiTheme="minorHAnsi" w:cstheme="minorHAnsi"/>
          <w:color w:val="000000"/>
          <w:sz w:val="24"/>
          <w:szCs w:val="32"/>
          <w:shd w:val="clear" w:color="auto" w:fill="FFFFFF"/>
        </w:rPr>
        <w:footnoteReference w:id="88"/>
      </w:r>
      <w:r w:rsidRPr="006450FB">
        <w:rPr>
          <w:rFonts w:asciiTheme="minorHAnsi" w:hAnsiTheme="minorHAnsi" w:cstheme="minorHAnsi"/>
          <w:color w:val="000000"/>
          <w:shd w:val="clear" w:color="auto" w:fill="FFFFFF"/>
        </w:rPr>
        <w:t xml:space="preserve"> The Court in declining interim relief, cited </w:t>
      </w:r>
      <w:r w:rsidRPr="006450FB">
        <w:rPr>
          <w:rFonts w:asciiTheme="minorHAnsi" w:hAnsiTheme="minorHAnsi" w:cstheme="minorHAnsi"/>
          <w:i/>
          <w:iCs/>
          <w:color w:val="000000"/>
          <w:shd w:val="clear" w:color="auto" w:fill="FFFFFF"/>
        </w:rPr>
        <w:t>Glaxo</w:t>
      </w:r>
      <w:r w:rsidRPr="006450FB">
        <w:rPr>
          <w:rFonts w:asciiTheme="minorHAnsi" w:hAnsiTheme="minorHAnsi" w:cstheme="minorHAnsi"/>
          <w:color w:val="000000"/>
          <w:shd w:val="clear" w:color="auto" w:fill="FFFFFF"/>
        </w:rPr>
        <w:t xml:space="preserve"> and noted the difficulties the plaintiffs would have in establishing the Crown was in trade.</w:t>
      </w:r>
    </w:p>
    <w:p w14:paraId="7E8D23D0" w14:textId="3EC2A00B" w:rsidR="00391276" w:rsidRPr="006450FB" w:rsidRDefault="0003026B" w:rsidP="00ED7DEC">
      <w:pPr>
        <w:pStyle w:val="TextindentedLR"/>
        <w:rPr>
          <w:rFonts w:asciiTheme="minorHAnsi" w:hAnsiTheme="minorHAnsi" w:cstheme="minorHAnsi"/>
        </w:rPr>
      </w:pPr>
      <w:r w:rsidRPr="006450FB">
        <w:rPr>
          <w:rFonts w:asciiTheme="minorHAnsi" w:hAnsiTheme="minorHAnsi" w:cstheme="minorHAnsi"/>
        </w:rPr>
        <w:t xml:space="preserve">In </w:t>
      </w:r>
      <w:r w:rsidRPr="006450FB">
        <w:rPr>
          <w:rFonts w:asciiTheme="minorHAnsi" w:hAnsiTheme="minorHAnsi" w:cstheme="minorHAnsi"/>
          <w:i/>
          <w:iCs/>
        </w:rPr>
        <w:t>Integrated Education Software Ltd v Attorney-General</w:t>
      </w:r>
      <w:r w:rsidRPr="006450FB">
        <w:rPr>
          <w:rFonts w:asciiTheme="minorHAnsi" w:hAnsiTheme="minorHAnsi" w:cstheme="minorHAnsi"/>
        </w:rPr>
        <w:t>, the Crown was alleged to have contravened s</w:t>
      </w:r>
      <w:r w:rsidR="000E532D" w:rsidRPr="006450FB">
        <w:rPr>
          <w:rFonts w:asciiTheme="minorHAnsi" w:hAnsiTheme="minorHAnsi" w:cstheme="minorHAnsi"/>
        </w:rPr>
        <w:t xml:space="preserve"> </w:t>
      </w:r>
      <w:r w:rsidRPr="006450FB">
        <w:rPr>
          <w:rFonts w:asciiTheme="minorHAnsi" w:hAnsiTheme="minorHAnsi" w:cstheme="minorHAnsi"/>
        </w:rPr>
        <w:t>36</w:t>
      </w:r>
      <w:r w:rsidR="000E532D" w:rsidRPr="006450FB">
        <w:rPr>
          <w:rFonts w:asciiTheme="minorHAnsi" w:hAnsiTheme="minorHAnsi" w:cstheme="minorHAnsi"/>
        </w:rPr>
        <w:t xml:space="preserve"> of the Commerce Act</w:t>
      </w:r>
      <w:r w:rsidRPr="006450FB">
        <w:rPr>
          <w:rFonts w:asciiTheme="minorHAnsi" w:hAnsiTheme="minorHAnsi" w:cstheme="minorHAnsi"/>
        </w:rPr>
        <w:t xml:space="preserve"> by refusing to accredit its software.</w:t>
      </w:r>
      <w:r w:rsidRPr="006450FB">
        <w:rPr>
          <w:rStyle w:val="FootnoteReference"/>
          <w:rFonts w:asciiTheme="minorHAnsi" w:hAnsiTheme="minorHAnsi" w:cstheme="minorHAnsi"/>
          <w:sz w:val="24"/>
          <w:szCs w:val="32"/>
        </w:rPr>
        <w:footnoteReference w:id="89"/>
      </w:r>
      <w:r w:rsidRPr="006450FB">
        <w:rPr>
          <w:rFonts w:asciiTheme="minorHAnsi" w:hAnsiTheme="minorHAnsi" w:cstheme="minorHAnsi"/>
        </w:rPr>
        <w:t xml:space="preserve"> </w:t>
      </w:r>
      <w:r w:rsidR="00744D97" w:rsidRPr="006450FB">
        <w:rPr>
          <w:rFonts w:asciiTheme="minorHAnsi" w:hAnsiTheme="minorHAnsi" w:cstheme="minorHAnsi"/>
        </w:rPr>
        <w:t xml:space="preserve">Schools were not required to </w:t>
      </w:r>
      <w:r w:rsidR="006B5968" w:rsidRPr="006450FB">
        <w:rPr>
          <w:rFonts w:asciiTheme="minorHAnsi" w:hAnsiTheme="minorHAnsi" w:cstheme="minorHAnsi"/>
        </w:rPr>
        <w:t xml:space="preserve">use accredited software, but </w:t>
      </w:r>
      <w:r w:rsidR="00D818DA" w:rsidRPr="006450FB">
        <w:rPr>
          <w:rFonts w:asciiTheme="minorHAnsi" w:hAnsiTheme="minorHAnsi" w:cstheme="minorHAnsi"/>
        </w:rPr>
        <w:t xml:space="preserve">subsidies were </w:t>
      </w:r>
      <w:r w:rsidR="00144046" w:rsidRPr="006450FB">
        <w:rPr>
          <w:rFonts w:asciiTheme="minorHAnsi" w:hAnsiTheme="minorHAnsi" w:cstheme="minorHAnsi"/>
        </w:rPr>
        <w:t xml:space="preserve">offered </w:t>
      </w:r>
      <w:r w:rsidR="00D818DA" w:rsidRPr="006450FB">
        <w:rPr>
          <w:rFonts w:asciiTheme="minorHAnsi" w:hAnsiTheme="minorHAnsi" w:cstheme="minorHAnsi"/>
        </w:rPr>
        <w:t>to</w:t>
      </w:r>
      <w:r w:rsidR="00931BD8" w:rsidRPr="006450FB">
        <w:rPr>
          <w:rFonts w:asciiTheme="minorHAnsi" w:hAnsiTheme="minorHAnsi" w:cstheme="minorHAnsi"/>
        </w:rPr>
        <w:t xml:space="preserve"> facilitate</w:t>
      </w:r>
      <w:r w:rsidR="00D818DA" w:rsidRPr="006450FB">
        <w:rPr>
          <w:rFonts w:asciiTheme="minorHAnsi" w:hAnsiTheme="minorHAnsi" w:cstheme="minorHAnsi"/>
        </w:rPr>
        <w:t xml:space="preserve"> the adoption of </w:t>
      </w:r>
      <w:r w:rsidR="00931BD8" w:rsidRPr="006450FB">
        <w:rPr>
          <w:rFonts w:asciiTheme="minorHAnsi" w:hAnsiTheme="minorHAnsi" w:cstheme="minorHAnsi"/>
        </w:rPr>
        <w:t>accredited</w:t>
      </w:r>
      <w:r w:rsidR="00D818DA" w:rsidRPr="006450FB">
        <w:rPr>
          <w:rFonts w:asciiTheme="minorHAnsi" w:hAnsiTheme="minorHAnsi" w:cstheme="minorHAnsi"/>
        </w:rPr>
        <w:t xml:space="preserve"> software</w:t>
      </w:r>
      <w:r w:rsidR="00144046" w:rsidRPr="006450FB">
        <w:rPr>
          <w:rFonts w:asciiTheme="minorHAnsi" w:hAnsiTheme="minorHAnsi" w:cstheme="minorHAnsi"/>
        </w:rPr>
        <w:t>.</w:t>
      </w:r>
      <w:r w:rsidR="00D818DA" w:rsidRPr="006450FB">
        <w:rPr>
          <w:rFonts w:asciiTheme="minorHAnsi" w:hAnsiTheme="minorHAnsi" w:cstheme="minorHAnsi"/>
        </w:rPr>
        <w:t xml:space="preserve"> </w:t>
      </w:r>
      <w:r w:rsidRPr="006450FB">
        <w:rPr>
          <w:rFonts w:asciiTheme="minorHAnsi" w:hAnsiTheme="minorHAnsi" w:cstheme="minorHAnsi"/>
        </w:rPr>
        <w:t xml:space="preserve">Williams J found that </w:t>
      </w:r>
      <w:r w:rsidRPr="006450FB">
        <w:rPr>
          <w:rFonts w:asciiTheme="minorHAnsi" w:hAnsiTheme="minorHAnsi" w:cstheme="minorHAnsi"/>
          <w:i/>
          <w:iCs/>
        </w:rPr>
        <w:t>Glaxo</w:t>
      </w:r>
      <w:r w:rsidRPr="006450FB">
        <w:rPr>
          <w:rFonts w:asciiTheme="minorHAnsi" w:hAnsiTheme="minorHAnsi" w:cstheme="minorHAnsi"/>
        </w:rPr>
        <w:t xml:space="preserve"> applied, and that the Ministry was not in trade as the accreditation regime itself and the subsidies provided by </w:t>
      </w:r>
      <w:r w:rsidR="00417DA8" w:rsidRPr="006450FB">
        <w:rPr>
          <w:rFonts w:asciiTheme="minorHAnsi" w:hAnsiTheme="minorHAnsi" w:cstheme="minorHAnsi"/>
        </w:rPr>
        <w:t>the Ministry of Education</w:t>
      </w:r>
      <w:r w:rsidRPr="006450FB">
        <w:rPr>
          <w:rFonts w:asciiTheme="minorHAnsi" w:hAnsiTheme="minorHAnsi" w:cstheme="minorHAnsi"/>
        </w:rPr>
        <w:t xml:space="preserve"> to schools involved the exercise of policy based regulatory functions.</w:t>
      </w:r>
    </w:p>
    <w:p w14:paraId="3ACE833A" w14:textId="15C4C1FB" w:rsidR="00391276" w:rsidRPr="006450FB" w:rsidRDefault="00F663ED" w:rsidP="00ED7DEC">
      <w:pPr>
        <w:pStyle w:val="TextindentedLR"/>
        <w:rPr>
          <w:rFonts w:asciiTheme="minorHAnsi" w:hAnsiTheme="minorHAnsi" w:cstheme="minorHAnsi"/>
        </w:rPr>
      </w:pPr>
      <w:r w:rsidRPr="006450FB">
        <w:rPr>
          <w:rFonts w:asciiTheme="minorHAnsi" w:eastAsia="Calibri" w:hAnsiTheme="minorHAnsi" w:cstheme="minorHAnsi"/>
          <w:color w:val="000000" w:themeColor="text1"/>
          <w:szCs w:val="24"/>
        </w:rPr>
        <w:t xml:space="preserve">Australian </w:t>
      </w:r>
      <w:r w:rsidR="00F10AE8" w:rsidRPr="006450FB">
        <w:rPr>
          <w:rFonts w:asciiTheme="minorHAnsi" w:eastAsia="Calibri" w:hAnsiTheme="minorHAnsi" w:cstheme="minorHAnsi"/>
          <w:color w:val="000000" w:themeColor="text1"/>
          <w:szCs w:val="24"/>
        </w:rPr>
        <w:t>commentators</w:t>
      </w:r>
      <w:r w:rsidRPr="006450FB">
        <w:rPr>
          <w:rFonts w:asciiTheme="minorHAnsi" w:eastAsia="Calibri" w:hAnsiTheme="minorHAnsi" w:cstheme="minorHAnsi"/>
          <w:color w:val="000000" w:themeColor="text1"/>
          <w:szCs w:val="24"/>
        </w:rPr>
        <w:t xml:space="preserve"> have suggested that findings that </w:t>
      </w:r>
      <w:r w:rsidR="00F10AE8" w:rsidRPr="006450FB">
        <w:rPr>
          <w:rFonts w:asciiTheme="minorHAnsi" w:eastAsia="Calibri" w:hAnsiTheme="minorHAnsi" w:cstheme="minorHAnsi"/>
          <w:color w:val="000000" w:themeColor="text1"/>
          <w:szCs w:val="24"/>
        </w:rPr>
        <w:t xml:space="preserve">Crown </w:t>
      </w:r>
      <w:r w:rsidRPr="006450FB">
        <w:rPr>
          <w:rFonts w:asciiTheme="minorHAnsi" w:eastAsia="Calibri" w:hAnsiTheme="minorHAnsi" w:cstheme="minorHAnsi"/>
          <w:color w:val="000000" w:themeColor="text1"/>
          <w:szCs w:val="24"/>
        </w:rPr>
        <w:t>conduct is in trade are rare, and that therefore there was “questionable merit” in adopting the New Zealand provisions.</w:t>
      </w:r>
      <w:r w:rsidRPr="006450FB">
        <w:rPr>
          <w:rStyle w:val="FootnoteReference"/>
          <w:rFonts w:asciiTheme="minorHAnsi" w:eastAsia="Calibri" w:hAnsiTheme="minorHAnsi" w:cstheme="minorHAnsi"/>
          <w:color w:val="000000" w:themeColor="text1"/>
          <w:sz w:val="24"/>
          <w:szCs w:val="24"/>
        </w:rPr>
        <w:footnoteReference w:id="90"/>
      </w:r>
      <w:r w:rsidRPr="006450FB">
        <w:rPr>
          <w:rFonts w:asciiTheme="minorHAnsi" w:eastAsia="Calibri" w:hAnsiTheme="minorHAnsi" w:cstheme="minorHAnsi"/>
          <w:color w:val="000000" w:themeColor="text1"/>
          <w:szCs w:val="24"/>
        </w:rPr>
        <w:t xml:space="preserve"> This may be because, i</w:t>
      </w:r>
      <w:r w:rsidR="001F628D" w:rsidRPr="006450FB">
        <w:rPr>
          <w:rFonts w:asciiTheme="minorHAnsi" w:hAnsiTheme="minorHAnsi" w:cstheme="minorHAnsi"/>
        </w:rPr>
        <w:t>n some cases,</w:t>
      </w:r>
      <w:r w:rsidR="005C653C" w:rsidRPr="006450FB">
        <w:rPr>
          <w:rFonts w:asciiTheme="minorHAnsi" w:hAnsiTheme="minorHAnsi" w:cstheme="minorHAnsi"/>
        </w:rPr>
        <w:t xml:space="preserve"> </w:t>
      </w:r>
      <w:r w:rsidR="001F628D" w:rsidRPr="006450FB">
        <w:rPr>
          <w:rFonts w:asciiTheme="minorHAnsi" w:hAnsiTheme="minorHAnsi" w:cstheme="minorHAnsi"/>
        </w:rPr>
        <w:t xml:space="preserve">the </w:t>
      </w:r>
      <w:r w:rsidR="001F0BBF" w:rsidRPr="006450FB">
        <w:rPr>
          <w:rFonts w:asciiTheme="minorHAnsi" w:hAnsiTheme="minorHAnsi" w:cstheme="minorHAnsi"/>
        </w:rPr>
        <w:t>c</w:t>
      </w:r>
      <w:r w:rsidR="001F628D" w:rsidRPr="006450FB">
        <w:rPr>
          <w:rFonts w:asciiTheme="minorHAnsi" w:hAnsiTheme="minorHAnsi" w:cstheme="minorHAnsi"/>
        </w:rPr>
        <w:t>ourt</w:t>
      </w:r>
      <w:r w:rsidRPr="006450FB">
        <w:rPr>
          <w:rFonts w:asciiTheme="minorHAnsi" w:hAnsiTheme="minorHAnsi" w:cstheme="minorHAnsi"/>
        </w:rPr>
        <w:t>s</w:t>
      </w:r>
      <w:r w:rsidR="001F628D" w:rsidRPr="006450FB">
        <w:rPr>
          <w:rFonts w:asciiTheme="minorHAnsi" w:hAnsiTheme="minorHAnsi" w:cstheme="minorHAnsi"/>
        </w:rPr>
        <w:t xml:space="preserve"> have applied </w:t>
      </w:r>
      <w:r w:rsidR="001F628D" w:rsidRPr="006450FB">
        <w:rPr>
          <w:rFonts w:asciiTheme="minorHAnsi" w:hAnsiTheme="minorHAnsi" w:cstheme="minorHAnsi"/>
          <w:i/>
          <w:iCs/>
        </w:rPr>
        <w:t>Glaxo</w:t>
      </w:r>
      <w:r w:rsidR="001F628D" w:rsidRPr="006450FB">
        <w:rPr>
          <w:rFonts w:asciiTheme="minorHAnsi" w:hAnsiTheme="minorHAnsi" w:cstheme="minorHAnsi"/>
        </w:rPr>
        <w:t xml:space="preserve"> beyond its apparent intent</w:t>
      </w:r>
      <w:r w:rsidR="00214FD2" w:rsidRPr="006450FB">
        <w:rPr>
          <w:rFonts w:asciiTheme="minorHAnsi" w:hAnsiTheme="minorHAnsi" w:cstheme="minorHAnsi"/>
        </w:rPr>
        <w:t>, in situations where services were being supplied or acquired</w:t>
      </w:r>
      <w:r w:rsidR="0031668D" w:rsidRPr="006450FB">
        <w:rPr>
          <w:rFonts w:asciiTheme="minorHAnsi" w:hAnsiTheme="minorHAnsi" w:cstheme="minorHAnsi"/>
        </w:rPr>
        <w:t xml:space="preserve"> in circumstances that would appear commercial</w:t>
      </w:r>
      <w:r w:rsidR="00690578" w:rsidRPr="006450FB">
        <w:rPr>
          <w:rFonts w:asciiTheme="minorHAnsi" w:hAnsiTheme="minorHAnsi" w:cstheme="minorHAnsi"/>
        </w:rPr>
        <w:t>.</w:t>
      </w:r>
    </w:p>
    <w:p w14:paraId="04964AE1" w14:textId="4C31CA7B" w:rsidR="00391276" w:rsidRPr="006450FB" w:rsidRDefault="00A83C8B" w:rsidP="00ED7DEC">
      <w:pPr>
        <w:pStyle w:val="TextindentedLR"/>
        <w:rPr>
          <w:rFonts w:asciiTheme="minorHAnsi" w:hAnsiTheme="minorHAnsi" w:cstheme="minorHAnsi"/>
        </w:rPr>
      </w:pPr>
      <w:r w:rsidRPr="006450FB">
        <w:rPr>
          <w:rFonts w:asciiTheme="minorHAnsi" w:hAnsiTheme="minorHAnsi" w:cstheme="minorHAnsi"/>
        </w:rPr>
        <w:t>First, i</w:t>
      </w:r>
      <w:r w:rsidR="00FE53F5" w:rsidRPr="006450FB">
        <w:rPr>
          <w:rFonts w:asciiTheme="minorHAnsi" w:hAnsiTheme="minorHAnsi" w:cstheme="minorHAnsi"/>
        </w:rPr>
        <w:t xml:space="preserve">n </w:t>
      </w:r>
      <w:r w:rsidR="00FE53F5" w:rsidRPr="006450FB">
        <w:rPr>
          <w:rFonts w:asciiTheme="minorHAnsi" w:hAnsiTheme="minorHAnsi" w:cstheme="minorHAnsi"/>
          <w:i/>
          <w:iCs/>
        </w:rPr>
        <w:t xml:space="preserve">Marina Holdings Ltd (in </w:t>
      </w:r>
      <w:r w:rsidR="00E329DA" w:rsidRPr="006450FB">
        <w:rPr>
          <w:rFonts w:asciiTheme="minorHAnsi" w:hAnsiTheme="minorHAnsi" w:cstheme="minorHAnsi"/>
          <w:i/>
          <w:iCs/>
        </w:rPr>
        <w:t>r</w:t>
      </w:r>
      <w:r w:rsidR="00FE53F5" w:rsidRPr="006450FB">
        <w:rPr>
          <w:rFonts w:asciiTheme="minorHAnsi" w:hAnsiTheme="minorHAnsi" w:cstheme="minorHAnsi"/>
          <w:i/>
          <w:iCs/>
        </w:rPr>
        <w:t>ec) v Thames-Coromandel District Council</w:t>
      </w:r>
      <w:r w:rsidR="00FE53F5" w:rsidRPr="006450FB">
        <w:rPr>
          <w:rFonts w:asciiTheme="minorHAnsi" w:hAnsiTheme="minorHAnsi" w:cstheme="minorHAnsi"/>
        </w:rPr>
        <w:t>, the District Council was alleged to have contravened the Fair Trading Act by, in trade, wrongly issuing a building code of compliance certificate.</w:t>
      </w:r>
      <w:r w:rsidR="00FE53F5" w:rsidRPr="006450FB">
        <w:rPr>
          <w:rStyle w:val="FootnoteReference"/>
          <w:rFonts w:asciiTheme="minorHAnsi" w:hAnsiTheme="minorHAnsi" w:cstheme="minorHAnsi"/>
          <w:sz w:val="24"/>
          <w:szCs w:val="32"/>
        </w:rPr>
        <w:footnoteReference w:id="91"/>
      </w:r>
      <w:r w:rsidR="00FE53F5" w:rsidRPr="006450FB">
        <w:rPr>
          <w:rFonts w:asciiTheme="minorHAnsi" w:hAnsiTheme="minorHAnsi" w:cstheme="minorHAnsi"/>
        </w:rPr>
        <w:t xml:space="preserve"> </w:t>
      </w:r>
      <w:r w:rsidR="008F5DF0" w:rsidRPr="006450FB">
        <w:rPr>
          <w:rFonts w:asciiTheme="minorHAnsi" w:hAnsiTheme="minorHAnsi" w:cstheme="minorHAnsi"/>
        </w:rPr>
        <w:t xml:space="preserve">The </w:t>
      </w:r>
      <w:r w:rsidR="00FE53F5" w:rsidRPr="006450FB">
        <w:rPr>
          <w:rFonts w:asciiTheme="minorHAnsi" w:hAnsiTheme="minorHAnsi" w:cstheme="minorHAnsi"/>
        </w:rPr>
        <w:t xml:space="preserve">Associate Judge followed </w:t>
      </w:r>
      <w:r w:rsidR="00FE53F5" w:rsidRPr="006450FB">
        <w:rPr>
          <w:rFonts w:asciiTheme="minorHAnsi" w:hAnsiTheme="minorHAnsi" w:cstheme="minorHAnsi"/>
          <w:i/>
          <w:iCs/>
        </w:rPr>
        <w:t>Glaxo</w:t>
      </w:r>
      <w:r w:rsidR="00FE53F5" w:rsidRPr="006450FB">
        <w:rPr>
          <w:rFonts w:asciiTheme="minorHAnsi" w:hAnsiTheme="minorHAnsi" w:cstheme="minorHAnsi"/>
        </w:rPr>
        <w:t>, and the claim was struck out as it was a regulatory function, despite</w:t>
      </w:r>
      <w:r w:rsidR="00690578" w:rsidRPr="006450FB">
        <w:rPr>
          <w:rFonts w:asciiTheme="minorHAnsi" w:hAnsiTheme="minorHAnsi" w:cstheme="minorHAnsi"/>
        </w:rPr>
        <w:t xml:space="preserve"> </w:t>
      </w:r>
      <w:r w:rsidR="00FE53F5" w:rsidRPr="006450FB">
        <w:rPr>
          <w:rFonts w:asciiTheme="minorHAnsi" w:hAnsiTheme="minorHAnsi" w:cstheme="minorHAnsi"/>
        </w:rPr>
        <w:t>the fact that the legislation envisaged that the council and private sector might compete to offer inspection services. The correctness of this decision has been doubted,</w:t>
      </w:r>
      <w:r w:rsidR="00690578" w:rsidRPr="006450FB">
        <w:rPr>
          <w:rStyle w:val="FootnoteReference"/>
          <w:rFonts w:asciiTheme="minorHAnsi" w:hAnsiTheme="minorHAnsi" w:cstheme="minorHAnsi"/>
          <w:sz w:val="24"/>
          <w:szCs w:val="32"/>
        </w:rPr>
        <w:footnoteReference w:id="92"/>
      </w:r>
      <w:r w:rsidR="00FE53F5" w:rsidRPr="006450FB">
        <w:rPr>
          <w:rFonts w:asciiTheme="minorHAnsi" w:hAnsiTheme="minorHAnsi" w:cstheme="minorHAnsi"/>
        </w:rPr>
        <w:t xml:space="preserve"> and it appears to take too broad a view of </w:t>
      </w:r>
      <w:r w:rsidR="00FE53F5" w:rsidRPr="006450FB">
        <w:rPr>
          <w:rFonts w:asciiTheme="minorHAnsi" w:hAnsiTheme="minorHAnsi" w:cstheme="minorHAnsi"/>
          <w:i/>
          <w:iCs/>
        </w:rPr>
        <w:t>Glaxo</w:t>
      </w:r>
      <w:r w:rsidR="00FE53F5" w:rsidRPr="006450FB">
        <w:rPr>
          <w:rFonts w:asciiTheme="minorHAnsi" w:hAnsiTheme="minorHAnsi" w:cstheme="minorHAnsi"/>
        </w:rPr>
        <w:t>.</w:t>
      </w:r>
      <w:r w:rsidR="001112A6" w:rsidRPr="006450FB">
        <w:rPr>
          <w:rFonts w:asciiTheme="minorHAnsi" w:hAnsiTheme="minorHAnsi" w:cstheme="minorHAnsi"/>
        </w:rPr>
        <w:t xml:space="preserve"> </w:t>
      </w:r>
      <w:r w:rsidR="00882A4A" w:rsidRPr="006450FB">
        <w:rPr>
          <w:rFonts w:asciiTheme="minorHAnsi" w:hAnsiTheme="minorHAnsi" w:cstheme="minorHAnsi"/>
        </w:rPr>
        <w:t xml:space="preserve">Given the purpose of the </w:t>
      </w:r>
      <w:r w:rsidR="000274C9" w:rsidRPr="006450FB">
        <w:rPr>
          <w:rFonts w:asciiTheme="minorHAnsi" w:hAnsiTheme="minorHAnsi" w:cstheme="minorHAnsi"/>
        </w:rPr>
        <w:t xml:space="preserve">Crown </w:t>
      </w:r>
      <w:r w:rsidR="00882A4A" w:rsidRPr="006450FB">
        <w:rPr>
          <w:rFonts w:asciiTheme="minorHAnsi" w:hAnsiTheme="minorHAnsi" w:cstheme="minorHAnsi"/>
        </w:rPr>
        <w:t xml:space="preserve">exception, </w:t>
      </w:r>
      <w:r w:rsidR="00115E8D" w:rsidRPr="006450FB">
        <w:rPr>
          <w:rFonts w:asciiTheme="minorHAnsi" w:hAnsiTheme="minorHAnsi" w:cstheme="minorHAnsi"/>
        </w:rPr>
        <w:t>t</w:t>
      </w:r>
      <w:r w:rsidR="00690578" w:rsidRPr="006450FB">
        <w:rPr>
          <w:rFonts w:asciiTheme="minorHAnsi" w:hAnsiTheme="minorHAnsi" w:cstheme="minorHAnsi"/>
        </w:rPr>
        <w:t xml:space="preserve">he supply of a </w:t>
      </w:r>
      <w:r w:rsidR="00597BA4" w:rsidRPr="006450FB">
        <w:rPr>
          <w:rFonts w:asciiTheme="minorHAnsi" w:hAnsiTheme="minorHAnsi" w:cstheme="minorHAnsi"/>
        </w:rPr>
        <w:t xml:space="preserve">good or </w:t>
      </w:r>
      <w:r w:rsidR="00690578" w:rsidRPr="006450FB">
        <w:rPr>
          <w:rFonts w:asciiTheme="minorHAnsi" w:hAnsiTheme="minorHAnsi" w:cstheme="minorHAnsi"/>
        </w:rPr>
        <w:t>service in a potentially competitive market</w:t>
      </w:r>
      <w:r w:rsidR="00B96270" w:rsidRPr="006450FB">
        <w:rPr>
          <w:rFonts w:asciiTheme="minorHAnsi" w:hAnsiTheme="minorHAnsi" w:cstheme="minorHAnsi"/>
        </w:rPr>
        <w:t xml:space="preserve"> </w:t>
      </w:r>
      <w:r w:rsidR="00882A4A" w:rsidRPr="006450FB">
        <w:rPr>
          <w:rFonts w:asciiTheme="minorHAnsi" w:hAnsiTheme="minorHAnsi" w:cstheme="minorHAnsi"/>
        </w:rPr>
        <w:t xml:space="preserve">should </w:t>
      </w:r>
      <w:r w:rsidR="00597BA4" w:rsidRPr="006450FB">
        <w:rPr>
          <w:rFonts w:asciiTheme="minorHAnsi" w:hAnsiTheme="minorHAnsi" w:cstheme="minorHAnsi"/>
        </w:rPr>
        <w:t xml:space="preserve">generally </w:t>
      </w:r>
      <w:r w:rsidR="00882A4A" w:rsidRPr="006450FB">
        <w:rPr>
          <w:rFonts w:asciiTheme="minorHAnsi" w:hAnsiTheme="minorHAnsi" w:cstheme="minorHAnsi"/>
        </w:rPr>
        <w:t xml:space="preserve">be subject to </w:t>
      </w:r>
      <w:r w:rsidR="000274C9" w:rsidRPr="006450FB">
        <w:rPr>
          <w:rFonts w:asciiTheme="minorHAnsi" w:hAnsiTheme="minorHAnsi" w:cstheme="minorHAnsi"/>
        </w:rPr>
        <w:t xml:space="preserve">the Commerce Act, </w:t>
      </w:r>
      <w:r w:rsidR="00690578" w:rsidRPr="006450FB">
        <w:rPr>
          <w:rFonts w:asciiTheme="minorHAnsi" w:hAnsiTheme="minorHAnsi" w:cstheme="minorHAnsi"/>
        </w:rPr>
        <w:t xml:space="preserve">even </w:t>
      </w:r>
      <w:r w:rsidR="00B96270" w:rsidRPr="006450FB">
        <w:rPr>
          <w:rFonts w:asciiTheme="minorHAnsi" w:hAnsiTheme="minorHAnsi" w:cstheme="minorHAnsi"/>
        </w:rPr>
        <w:t xml:space="preserve">if the service is </w:t>
      </w:r>
      <w:r w:rsidR="00690578" w:rsidRPr="006450FB">
        <w:rPr>
          <w:rFonts w:asciiTheme="minorHAnsi" w:hAnsiTheme="minorHAnsi" w:cstheme="minorHAnsi"/>
        </w:rPr>
        <w:t xml:space="preserve">one </w:t>
      </w:r>
      <w:r w:rsidR="00B96270" w:rsidRPr="006450FB">
        <w:rPr>
          <w:rFonts w:asciiTheme="minorHAnsi" w:hAnsiTheme="minorHAnsi" w:cstheme="minorHAnsi"/>
        </w:rPr>
        <w:t xml:space="preserve">that is </w:t>
      </w:r>
      <w:r w:rsidR="00690578" w:rsidRPr="006450FB">
        <w:rPr>
          <w:rFonts w:asciiTheme="minorHAnsi" w:hAnsiTheme="minorHAnsi" w:cstheme="minorHAnsi"/>
        </w:rPr>
        <w:t xml:space="preserve">required by </w:t>
      </w:r>
      <w:r w:rsidRPr="006450FB">
        <w:rPr>
          <w:rFonts w:asciiTheme="minorHAnsi" w:hAnsiTheme="minorHAnsi" w:cstheme="minorHAnsi"/>
        </w:rPr>
        <w:t xml:space="preserve">a </w:t>
      </w:r>
      <w:r w:rsidR="00690578" w:rsidRPr="006450FB">
        <w:rPr>
          <w:rFonts w:asciiTheme="minorHAnsi" w:hAnsiTheme="minorHAnsi" w:cstheme="minorHAnsi"/>
        </w:rPr>
        <w:t>regulat</w:t>
      </w:r>
      <w:r w:rsidRPr="006450FB">
        <w:rPr>
          <w:rFonts w:asciiTheme="minorHAnsi" w:hAnsiTheme="minorHAnsi" w:cstheme="minorHAnsi"/>
        </w:rPr>
        <w:t>ory regime.</w:t>
      </w:r>
    </w:p>
    <w:p w14:paraId="33C29E58" w14:textId="3D2AB138" w:rsidR="00391276" w:rsidRPr="006450FB" w:rsidRDefault="00A83C8B" w:rsidP="00ED7DEC">
      <w:pPr>
        <w:pStyle w:val="TextindentedLR"/>
        <w:rPr>
          <w:rFonts w:asciiTheme="minorHAnsi" w:hAnsiTheme="minorHAnsi" w:cstheme="minorHAnsi"/>
        </w:rPr>
      </w:pPr>
      <w:r w:rsidRPr="006450FB">
        <w:rPr>
          <w:rFonts w:asciiTheme="minorHAnsi" w:hAnsiTheme="minorHAnsi" w:cstheme="minorHAnsi"/>
        </w:rPr>
        <w:t>Second, i</w:t>
      </w:r>
      <w:r w:rsidR="00166400" w:rsidRPr="006450FB">
        <w:rPr>
          <w:rFonts w:asciiTheme="minorHAnsi" w:hAnsiTheme="minorHAnsi" w:cstheme="minorHAnsi"/>
        </w:rPr>
        <w:t xml:space="preserve">n </w:t>
      </w:r>
      <w:r w:rsidR="00166400" w:rsidRPr="006450FB">
        <w:rPr>
          <w:rFonts w:asciiTheme="minorHAnsi" w:hAnsiTheme="minorHAnsi" w:cstheme="minorHAnsi"/>
          <w:i/>
          <w:iCs/>
        </w:rPr>
        <w:t>Te Whanau O Waipareira Trust v Attorney-General</w:t>
      </w:r>
      <w:r w:rsidR="00166400" w:rsidRPr="006450FB">
        <w:rPr>
          <w:rFonts w:asciiTheme="minorHAnsi" w:hAnsiTheme="minorHAnsi" w:cstheme="minorHAnsi"/>
        </w:rPr>
        <w:t xml:space="preserve">, the Crown was alleged to </w:t>
      </w:r>
      <w:r w:rsidR="0066149B" w:rsidRPr="006450FB">
        <w:rPr>
          <w:rFonts w:asciiTheme="minorHAnsi" w:hAnsiTheme="minorHAnsi" w:cstheme="minorHAnsi"/>
        </w:rPr>
        <w:t xml:space="preserve">have </w:t>
      </w:r>
      <w:r w:rsidR="00166400" w:rsidRPr="006450FB">
        <w:rPr>
          <w:rFonts w:asciiTheme="minorHAnsi" w:hAnsiTheme="minorHAnsi" w:cstheme="minorHAnsi"/>
        </w:rPr>
        <w:t>breached the Fair Trading Act in its dealings when funding the plaintiff to deliver services to vulnerable families.</w:t>
      </w:r>
      <w:r w:rsidR="00166400" w:rsidRPr="006450FB">
        <w:rPr>
          <w:rStyle w:val="FootnoteReference"/>
          <w:rFonts w:asciiTheme="minorHAnsi" w:hAnsiTheme="minorHAnsi" w:cstheme="minorHAnsi"/>
          <w:sz w:val="24"/>
          <w:szCs w:val="32"/>
        </w:rPr>
        <w:footnoteReference w:id="93"/>
      </w:r>
      <w:r w:rsidR="00166400" w:rsidRPr="006450FB">
        <w:rPr>
          <w:rFonts w:asciiTheme="minorHAnsi" w:hAnsiTheme="minorHAnsi" w:cstheme="minorHAnsi"/>
        </w:rPr>
        <w:t xml:space="preserve"> Priestl</w:t>
      </w:r>
      <w:r w:rsidR="0066149B" w:rsidRPr="006450FB">
        <w:rPr>
          <w:rFonts w:asciiTheme="minorHAnsi" w:hAnsiTheme="minorHAnsi" w:cstheme="minorHAnsi"/>
        </w:rPr>
        <w:t>e</w:t>
      </w:r>
      <w:r w:rsidR="00166400" w:rsidRPr="006450FB">
        <w:rPr>
          <w:rFonts w:asciiTheme="minorHAnsi" w:hAnsiTheme="minorHAnsi" w:cstheme="minorHAnsi"/>
        </w:rPr>
        <w:t>y J held that the contractual relationships between the Ministry and Family Start providers did not constitute trade, without giving reasons.</w:t>
      </w:r>
      <w:r w:rsidR="000A44C6" w:rsidRPr="006450FB">
        <w:rPr>
          <w:rFonts w:asciiTheme="minorHAnsi" w:hAnsiTheme="minorHAnsi" w:cstheme="minorHAnsi"/>
        </w:rPr>
        <w:t xml:space="preserve"> </w:t>
      </w:r>
      <w:r w:rsidR="00E2397A" w:rsidRPr="006450FB">
        <w:rPr>
          <w:rFonts w:asciiTheme="minorHAnsi" w:hAnsiTheme="minorHAnsi" w:cstheme="minorHAnsi"/>
        </w:rPr>
        <w:t xml:space="preserve">While the decision may well </w:t>
      </w:r>
      <w:r w:rsidR="00B03D59" w:rsidRPr="006450FB">
        <w:rPr>
          <w:rFonts w:asciiTheme="minorHAnsi" w:hAnsiTheme="minorHAnsi" w:cstheme="minorHAnsi"/>
        </w:rPr>
        <w:t>have been correct for other reasons</w:t>
      </w:r>
      <w:r w:rsidR="00E2397A" w:rsidRPr="006450FB">
        <w:rPr>
          <w:rFonts w:asciiTheme="minorHAnsi" w:hAnsiTheme="minorHAnsi" w:cstheme="minorHAnsi"/>
        </w:rPr>
        <w:t xml:space="preserve">, </w:t>
      </w:r>
      <w:r w:rsidR="00B13E61" w:rsidRPr="006450FB">
        <w:rPr>
          <w:rFonts w:asciiTheme="minorHAnsi" w:hAnsiTheme="minorHAnsi" w:cstheme="minorHAnsi"/>
        </w:rPr>
        <w:t>without fu</w:t>
      </w:r>
      <w:r w:rsidR="004F3B76" w:rsidRPr="006450FB">
        <w:rPr>
          <w:rFonts w:asciiTheme="minorHAnsi" w:hAnsiTheme="minorHAnsi" w:cstheme="minorHAnsi"/>
        </w:rPr>
        <w:t>r</w:t>
      </w:r>
      <w:r w:rsidR="00B13E61" w:rsidRPr="006450FB">
        <w:rPr>
          <w:rFonts w:asciiTheme="minorHAnsi" w:hAnsiTheme="minorHAnsi" w:cstheme="minorHAnsi"/>
        </w:rPr>
        <w:t xml:space="preserve">ther articulation it is arguably </w:t>
      </w:r>
      <w:r w:rsidR="00B03D59" w:rsidRPr="006450FB">
        <w:rPr>
          <w:rFonts w:asciiTheme="minorHAnsi" w:hAnsiTheme="minorHAnsi" w:cstheme="minorHAnsi"/>
        </w:rPr>
        <w:t xml:space="preserve">inconsistent </w:t>
      </w:r>
      <w:r w:rsidR="009A0D2C" w:rsidRPr="006450FB">
        <w:rPr>
          <w:rFonts w:asciiTheme="minorHAnsi" w:hAnsiTheme="minorHAnsi" w:cstheme="minorHAnsi"/>
        </w:rPr>
        <w:t xml:space="preserve">with </w:t>
      </w:r>
      <w:r w:rsidR="009A0D2C" w:rsidRPr="006450FB">
        <w:rPr>
          <w:rFonts w:asciiTheme="minorHAnsi" w:hAnsiTheme="minorHAnsi" w:cstheme="minorHAnsi"/>
          <w:i/>
          <w:iCs/>
        </w:rPr>
        <w:t>Astra Pharmaceutical</w:t>
      </w:r>
      <w:r w:rsidR="005C4655" w:rsidRPr="006450FB">
        <w:rPr>
          <w:rFonts w:asciiTheme="minorHAnsi" w:hAnsiTheme="minorHAnsi" w:cstheme="minorHAnsi"/>
        </w:rPr>
        <w:t xml:space="preserve">. </w:t>
      </w:r>
      <w:r w:rsidR="00581469" w:rsidRPr="006450FB">
        <w:rPr>
          <w:rFonts w:asciiTheme="minorHAnsi" w:hAnsiTheme="minorHAnsi" w:cstheme="minorHAnsi"/>
        </w:rPr>
        <w:t xml:space="preserve">The Crown was procuring services </w:t>
      </w:r>
      <w:r w:rsidR="004D1B0A" w:rsidRPr="006450FB">
        <w:rPr>
          <w:rFonts w:asciiTheme="minorHAnsi" w:hAnsiTheme="minorHAnsi" w:cstheme="minorHAnsi"/>
        </w:rPr>
        <w:t xml:space="preserve">on a contractual basis, likely </w:t>
      </w:r>
      <w:r w:rsidR="00581469" w:rsidRPr="006450FB">
        <w:rPr>
          <w:rFonts w:asciiTheme="minorHAnsi" w:hAnsiTheme="minorHAnsi" w:cstheme="minorHAnsi"/>
        </w:rPr>
        <w:t>in a competitive market, to meet its public purposes.</w:t>
      </w:r>
    </w:p>
    <w:p w14:paraId="6271B8D9" w14:textId="16C3E867" w:rsidR="00391276" w:rsidRPr="006450FB" w:rsidRDefault="006966A2" w:rsidP="00ED7DEC">
      <w:pPr>
        <w:pStyle w:val="TextindentedLR"/>
        <w:rPr>
          <w:rFonts w:asciiTheme="minorHAnsi" w:hAnsiTheme="minorHAnsi" w:cstheme="minorHAnsi"/>
        </w:rPr>
      </w:pPr>
      <w:r w:rsidRPr="006450FB">
        <w:rPr>
          <w:rFonts w:asciiTheme="minorHAnsi" w:hAnsiTheme="minorHAnsi" w:cstheme="minorHAnsi"/>
        </w:rPr>
        <w:t xml:space="preserve">Where the Crown, in carrying out a function, provides a service which can be commercially purchased from others, then Crown immunity should not apply, and to the extent </w:t>
      </w:r>
      <w:r w:rsidRPr="006450FB">
        <w:rPr>
          <w:rFonts w:asciiTheme="minorHAnsi" w:hAnsiTheme="minorHAnsi" w:cstheme="minorHAnsi"/>
          <w:i/>
          <w:iCs/>
        </w:rPr>
        <w:t>Marina Holdings</w:t>
      </w:r>
      <w:r w:rsidRPr="006450FB">
        <w:rPr>
          <w:rFonts w:asciiTheme="minorHAnsi" w:hAnsiTheme="minorHAnsi" w:cstheme="minorHAnsi"/>
        </w:rPr>
        <w:t xml:space="preserve"> finds otherwise it should not be followed. Similarly, as in </w:t>
      </w:r>
      <w:r w:rsidRPr="006450FB">
        <w:rPr>
          <w:rFonts w:asciiTheme="minorHAnsi" w:hAnsiTheme="minorHAnsi" w:cstheme="minorHAnsi"/>
          <w:i/>
          <w:iCs/>
        </w:rPr>
        <w:t>Astra Pharmaceuticals</w:t>
      </w:r>
      <w:r w:rsidRPr="006450FB">
        <w:rPr>
          <w:rFonts w:asciiTheme="minorHAnsi" w:hAnsiTheme="minorHAnsi" w:cstheme="minorHAnsi"/>
        </w:rPr>
        <w:t xml:space="preserve">, the contractual </w:t>
      </w:r>
      <w:r w:rsidRPr="006450FB">
        <w:rPr>
          <w:rFonts w:asciiTheme="minorHAnsi" w:hAnsiTheme="minorHAnsi" w:cstheme="minorHAnsi"/>
        </w:rPr>
        <w:lastRenderedPageBreak/>
        <w:t xml:space="preserve">procurement of goods or services by the Crown </w:t>
      </w:r>
      <w:r w:rsidR="001F5FD3" w:rsidRPr="006450FB">
        <w:rPr>
          <w:rFonts w:asciiTheme="minorHAnsi" w:hAnsiTheme="minorHAnsi" w:cstheme="minorHAnsi"/>
        </w:rPr>
        <w:t>generally will</w:t>
      </w:r>
      <w:r w:rsidRPr="006450FB">
        <w:rPr>
          <w:rFonts w:asciiTheme="minorHAnsi" w:hAnsiTheme="minorHAnsi" w:cstheme="minorHAnsi"/>
        </w:rPr>
        <w:t xml:space="preserve"> be in trade, notwithstanding that the ultimate objective is the furtherance of the public good.</w:t>
      </w:r>
    </w:p>
    <w:p w14:paraId="01348B54" w14:textId="6722546F" w:rsidR="00391276" w:rsidRPr="006450FB" w:rsidRDefault="006966A2" w:rsidP="00ED7DEC">
      <w:pPr>
        <w:pStyle w:val="TextindentedLR"/>
        <w:rPr>
          <w:rFonts w:asciiTheme="minorHAnsi" w:hAnsiTheme="minorHAnsi" w:cstheme="minorHAnsi"/>
        </w:rPr>
      </w:pPr>
      <w:r w:rsidRPr="006450FB">
        <w:rPr>
          <w:rFonts w:asciiTheme="minorHAnsi" w:hAnsiTheme="minorHAnsi" w:cstheme="minorHAnsi"/>
        </w:rPr>
        <w:t xml:space="preserve">Further, the nature of trade may change over time. Some caution should be exercised in situations where the Crown operates an accreditation or licensing scheme that controls access to a market. The fact the function has a “gatekeeper” role does not, without more, mean that function is sufficiently regulatory that it should not be subject to Commerce Act scrutiny. A </w:t>
      </w:r>
      <w:r w:rsidR="0066149B" w:rsidRPr="006450FB">
        <w:rPr>
          <w:rFonts w:asciiTheme="minorHAnsi" w:hAnsiTheme="minorHAnsi" w:cstheme="minorHAnsi"/>
        </w:rPr>
        <w:t>“</w:t>
      </w:r>
      <w:r w:rsidRPr="006450FB">
        <w:rPr>
          <w:rFonts w:asciiTheme="minorHAnsi" w:hAnsiTheme="minorHAnsi" w:cstheme="minorHAnsi"/>
        </w:rPr>
        <w:t>gatekeeper</w:t>
      </w:r>
      <w:r w:rsidR="0066149B" w:rsidRPr="006450FB">
        <w:rPr>
          <w:rFonts w:asciiTheme="minorHAnsi" w:hAnsiTheme="minorHAnsi" w:cstheme="minorHAnsi"/>
        </w:rPr>
        <w:t>”</w:t>
      </w:r>
      <w:r w:rsidRPr="006450FB">
        <w:rPr>
          <w:rFonts w:asciiTheme="minorHAnsi" w:hAnsiTheme="minorHAnsi" w:cstheme="minorHAnsi"/>
        </w:rPr>
        <w:t xml:space="preserve"> role is not uncommon in the commercial world, and might be performed by a software platform, network operator or professional licensing body, and would rightly be subject to the Commerce Act if used to substantially lessen competition.</w:t>
      </w:r>
    </w:p>
    <w:p w14:paraId="1E454596" w14:textId="21FDFEEC" w:rsidR="00391276" w:rsidRPr="006450FB" w:rsidRDefault="00364AE2" w:rsidP="00ED7DEC">
      <w:pPr>
        <w:pStyle w:val="TextindentedLR"/>
        <w:rPr>
          <w:rFonts w:asciiTheme="minorHAnsi" w:hAnsiTheme="minorHAnsi" w:cstheme="minorHAnsi"/>
        </w:rPr>
      </w:pPr>
      <w:r w:rsidRPr="006450FB">
        <w:rPr>
          <w:rFonts w:asciiTheme="minorHAnsi" w:hAnsiTheme="minorHAnsi" w:cstheme="minorHAnsi"/>
        </w:rPr>
        <w:t xml:space="preserve">Ultimately, the application of </w:t>
      </w:r>
      <w:r w:rsidR="00583ED6" w:rsidRPr="006450FB">
        <w:rPr>
          <w:rFonts w:asciiTheme="minorHAnsi" w:hAnsiTheme="minorHAnsi" w:cstheme="minorHAnsi"/>
        </w:rPr>
        <w:t>the Crown exception</w:t>
      </w:r>
      <w:r w:rsidRPr="006450FB">
        <w:rPr>
          <w:rFonts w:asciiTheme="minorHAnsi" w:hAnsiTheme="minorHAnsi" w:cstheme="minorHAnsi"/>
        </w:rPr>
        <w:t xml:space="preserve"> will be context sensitive. </w:t>
      </w:r>
      <w:r w:rsidR="005118F8" w:rsidRPr="006450FB">
        <w:rPr>
          <w:rFonts w:asciiTheme="minorHAnsi" w:hAnsiTheme="minorHAnsi" w:cstheme="minorHAnsi"/>
        </w:rPr>
        <w:t xml:space="preserve">In each case </w:t>
      </w:r>
      <w:r w:rsidR="00263BB7" w:rsidRPr="006450FB">
        <w:rPr>
          <w:rFonts w:asciiTheme="minorHAnsi" w:hAnsiTheme="minorHAnsi" w:cstheme="minorHAnsi"/>
        </w:rPr>
        <w:t xml:space="preserve">the </w:t>
      </w:r>
      <w:r w:rsidR="0066149B" w:rsidRPr="006450FB">
        <w:rPr>
          <w:rFonts w:asciiTheme="minorHAnsi" w:hAnsiTheme="minorHAnsi" w:cstheme="minorHAnsi"/>
        </w:rPr>
        <w:t>c</w:t>
      </w:r>
      <w:r w:rsidR="00263BB7" w:rsidRPr="006450FB">
        <w:rPr>
          <w:rFonts w:asciiTheme="minorHAnsi" w:hAnsiTheme="minorHAnsi" w:cstheme="minorHAnsi"/>
        </w:rPr>
        <w:t xml:space="preserve">ourt will look at the nature of the </w:t>
      </w:r>
      <w:r w:rsidR="00AB62FC" w:rsidRPr="006450FB">
        <w:rPr>
          <w:rFonts w:asciiTheme="minorHAnsi" w:hAnsiTheme="minorHAnsi" w:cstheme="minorHAnsi"/>
        </w:rPr>
        <w:t xml:space="preserve">Crown’s </w:t>
      </w:r>
      <w:r w:rsidR="00263BB7" w:rsidRPr="006450FB">
        <w:rPr>
          <w:rFonts w:asciiTheme="minorHAnsi" w:hAnsiTheme="minorHAnsi" w:cstheme="minorHAnsi"/>
        </w:rPr>
        <w:t>public function</w:t>
      </w:r>
      <w:r w:rsidR="00AB62FC" w:rsidRPr="006450FB">
        <w:rPr>
          <w:rFonts w:asciiTheme="minorHAnsi" w:hAnsiTheme="minorHAnsi" w:cstheme="minorHAnsi"/>
        </w:rPr>
        <w:t xml:space="preserve"> in relation to the conduct</w:t>
      </w:r>
      <w:r w:rsidR="005118F8" w:rsidRPr="006450FB">
        <w:rPr>
          <w:rFonts w:asciiTheme="minorHAnsi" w:hAnsiTheme="minorHAnsi" w:cstheme="minorHAnsi"/>
        </w:rPr>
        <w:t>,</w:t>
      </w:r>
      <w:r w:rsidR="00AB62FC" w:rsidRPr="006450FB">
        <w:rPr>
          <w:rFonts w:asciiTheme="minorHAnsi" w:hAnsiTheme="minorHAnsi" w:cstheme="minorHAnsi"/>
        </w:rPr>
        <w:t xml:space="preserve"> what the Crown seeks to achieve through its conduct, </w:t>
      </w:r>
      <w:r w:rsidR="009C4186" w:rsidRPr="006450FB">
        <w:rPr>
          <w:rFonts w:asciiTheme="minorHAnsi" w:hAnsiTheme="minorHAnsi" w:cstheme="minorHAnsi"/>
        </w:rPr>
        <w:t xml:space="preserve">and the nature of </w:t>
      </w:r>
      <w:r w:rsidR="005118F8" w:rsidRPr="006450FB">
        <w:rPr>
          <w:rFonts w:asciiTheme="minorHAnsi" w:hAnsiTheme="minorHAnsi" w:cstheme="minorHAnsi"/>
        </w:rPr>
        <w:t xml:space="preserve">the mechanism that is used </w:t>
      </w:r>
      <w:r w:rsidR="00AB62FC" w:rsidRPr="006450FB">
        <w:rPr>
          <w:rFonts w:asciiTheme="minorHAnsi" w:hAnsiTheme="minorHAnsi" w:cstheme="minorHAnsi"/>
        </w:rPr>
        <w:t xml:space="preserve">by </w:t>
      </w:r>
      <w:r w:rsidR="009C4186" w:rsidRPr="006450FB">
        <w:rPr>
          <w:rFonts w:asciiTheme="minorHAnsi" w:hAnsiTheme="minorHAnsi" w:cstheme="minorHAnsi"/>
        </w:rPr>
        <w:t>Crown</w:t>
      </w:r>
      <w:r w:rsidR="00641B22" w:rsidRPr="006450FB">
        <w:rPr>
          <w:rFonts w:asciiTheme="minorHAnsi" w:hAnsiTheme="minorHAnsi" w:cstheme="minorHAnsi"/>
        </w:rPr>
        <w:t xml:space="preserve"> to achieve its purpose</w:t>
      </w:r>
      <w:r w:rsidR="009C4186" w:rsidRPr="006450FB">
        <w:rPr>
          <w:rFonts w:asciiTheme="minorHAnsi" w:hAnsiTheme="minorHAnsi" w:cstheme="minorHAnsi"/>
        </w:rPr>
        <w:t xml:space="preserve">. </w:t>
      </w:r>
      <w:r w:rsidR="0070050B" w:rsidRPr="006450FB">
        <w:rPr>
          <w:rFonts w:asciiTheme="minorHAnsi" w:hAnsiTheme="minorHAnsi" w:cstheme="minorHAnsi"/>
        </w:rPr>
        <w:t xml:space="preserve">The fact </w:t>
      </w:r>
      <w:r w:rsidR="00A6186A" w:rsidRPr="006450FB">
        <w:rPr>
          <w:rFonts w:asciiTheme="minorHAnsi" w:hAnsiTheme="minorHAnsi" w:cstheme="minorHAnsi"/>
        </w:rPr>
        <w:t>that the public b</w:t>
      </w:r>
      <w:r w:rsidR="002439C4" w:rsidRPr="006450FB">
        <w:rPr>
          <w:rFonts w:asciiTheme="minorHAnsi" w:hAnsiTheme="minorHAnsi" w:cstheme="minorHAnsi"/>
        </w:rPr>
        <w:t xml:space="preserve">ody has some regulatory functions, or that </w:t>
      </w:r>
      <w:r w:rsidR="0070050B" w:rsidRPr="006450FB">
        <w:rPr>
          <w:rFonts w:asciiTheme="minorHAnsi" w:hAnsiTheme="minorHAnsi" w:cstheme="minorHAnsi"/>
        </w:rPr>
        <w:t>the conduct ultimately achieves a public benefit</w:t>
      </w:r>
      <w:r w:rsidR="002439C4" w:rsidRPr="006450FB">
        <w:rPr>
          <w:rFonts w:asciiTheme="minorHAnsi" w:hAnsiTheme="minorHAnsi" w:cstheme="minorHAnsi"/>
        </w:rPr>
        <w:t>,</w:t>
      </w:r>
      <w:r w:rsidR="0070050B" w:rsidRPr="006450FB">
        <w:rPr>
          <w:rFonts w:asciiTheme="minorHAnsi" w:hAnsiTheme="minorHAnsi" w:cstheme="minorHAnsi"/>
        </w:rPr>
        <w:t xml:space="preserve"> will not be sufficient. </w:t>
      </w:r>
      <w:r w:rsidR="00263BB7" w:rsidRPr="006450FB">
        <w:rPr>
          <w:rFonts w:asciiTheme="minorHAnsi" w:hAnsiTheme="minorHAnsi" w:cstheme="minorHAnsi"/>
        </w:rPr>
        <w:t xml:space="preserve">If </w:t>
      </w:r>
      <w:r w:rsidR="009C4186" w:rsidRPr="006450FB">
        <w:rPr>
          <w:rFonts w:asciiTheme="minorHAnsi" w:hAnsiTheme="minorHAnsi" w:cstheme="minorHAnsi"/>
        </w:rPr>
        <w:t xml:space="preserve">the mechanism used </w:t>
      </w:r>
      <w:r w:rsidR="00263BB7" w:rsidRPr="006450FB">
        <w:rPr>
          <w:rFonts w:asciiTheme="minorHAnsi" w:hAnsiTheme="minorHAnsi" w:cstheme="minorHAnsi"/>
        </w:rPr>
        <w:t>is commercial in character, such as a contractual arrangement</w:t>
      </w:r>
      <w:r w:rsidR="008E4551" w:rsidRPr="006450FB">
        <w:rPr>
          <w:rFonts w:asciiTheme="minorHAnsi" w:hAnsiTheme="minorHAnsi" w:cstheme="minorHAnsi"/>
        </w:rPr>
        <w:t xml:space="preserve"> or tendering situation</w:t>
      </w:r>
      <w:r w:rsidR="00263BB7" w:rsidRPr="006450FB">
        <w:rPr>
          <w:rFonts w:asciiTheme="minorHAnsi" w:hAnsiTheme="minorHAnsi" w:cstheme="minorHAnsi"/>
        </w:rPr>
        <w:t xml:space="preserve">, it is more likely to involve the Crown </w:t>
      </w:r>
      <w:r w:rsidR="0066149B" w:rsidRPr="006450FB">
        <w:rPr>
          <w:rFonts w:asciiTheme="minorHAnsi" w:hAnsiTheme="minorHAnsi" w:cstheme="minorHAnsi"/>
        </w:rPr>
        <w:t>“</w:t>
      </w:r>
      <w:r w:rsidR="00263BB7" w:rsidRPr="006450FB">
        <w:rPr>
          <w:rFonts w:asciiTheme="minorHAnsi" w:hAnsiTheme="minorHAnsi" w:cstheme="minorHAnsi"/>
        </w:rPr>
        <w:t>in trade</w:t>
      </w:r>
      <w:r w:rsidR="0066149B" w:rsidRPr="006450FB">
        <w:rPr>
          <w:rFonts w:asciiTheme="minorHAnsi" w:hAnsiTheme="minorHAnsi" w:cstheme="minorHAnsi"/>
        </w:rPr>
        <w:t>”</w:t>
      </w:r>
      <w:r w:rsidR="00263BB7" w:rsidRPr="006450FB">
        <w:rPr>
          <w:rFonts w:asciiTheme="minorHAnsi" w:hAnsiTheme="minorHAnsi" w:cstheme="minorHAnsi"/>
        </w:rPr>
        <w:t>.</w:t>
      </w:r>
      <w:r w:rsidR="008E4551" w:rsidRPr="006450FB">
        <w:rPr>
          <w:rStyle w:val="FootnoteReference"/>
          <w:rFonts w:asciiTheme="minorHAnsi" w:hAnsiTheme="minorHAnsi" w:cstheme="minorHAnsi"/>
          <w:sz w:val="24"/>
          <w:szCs w:val="32"/>
        </w:rPr>
        <w:footnoteReference w:id="94"/>
      </w:r>
    </w:p>
    <w:p w14:paraId="5B1EE11E" w14:textId="746F8C25" w:rsidR="00874485" w:rsidRPr="006450FB" w:rsidRDefault="007A40C5" w:rsidP="007A40C5">
      <w:pPr>
        <w:pStyle w:val="Heading1LR"/>
        <w:rPr>
          <w:rFonts w:asciiTheme="minorHAnsi" w:hAnsiTheme="minorHAnsi" w:cstheme="minorHAnsi"/>
        </w:rPr>
      </w:pPr>
      <w:r>
        <w:rPr>
          <w:rFonts w:asciiTheme="minorHAnsi" w:hAnsiTheme="minorHAnsi" w:cstheme="minorHAnsi"/>
        </w:rPr>
        <w:t>V</w:t>
      </w:r>
      <w:r w:rsidR="00250CD8" w:rsidRPr="006450FB">
        <w:rPr>
          <w:rFonts w:asciiTheme="minorHAnsi" w:hAnsiTheme="minorHAnsi" w:cstheme="minorHAnsi"/>
        </w:rPr>
        <w:t xml:space="preserve"> </w:t>
      </w:r>
      <w:r w:rsidR="003B130D" w:rsidRPr="006450FB">
        <w:rPr>
          <w:rFonts w:asciiTheme="minorHAnsi" w:hAnsiTheme="minorHAnsi" w:cstheme="minorHAnsi"/>
        </w:rPr>
        <w:tab/>
      </w:r>
      <w:r w:rsidR="00874485" w:rsidRPr="006450FB">
        <w:rPr>
          <w:rFonts w:asciiTheme="minorHAnsi" w:hAnsiTheme="minorHAnsi" w:cstheme="minorHAnsi"/>
        </w:rPr>
        <w:t>Constraints on the Crown’s ability to limit on competition when not in trade</w:t>
      </w:r>
    </w:p>
    <w:p w14:paraId="7976F110" w14:textId="7E97BA85" w:rsidR="001C1874" w:rsidRPr="006450FB" w:rsidRDefault="00874485" w:rsidP="003B130D">
      <w:pPr>
        <w:pStyle w:val="TextnoindentLR"/>
        <w:rPr>
          <w:rFonts w:asciiTheme="minorHAnsi" w:hAnsiTheme="minorHAnsi" w:cstheme="minorHAnsi"/>
        </w:rPr>
      </w:pPr>
      <w:r w:rsidRPr="006450FB">
        <w:rPr>
          <w:rFonts w:asciiTheme="minorHAnsi" w:hAnsiTheme="minorHAnsi" w:cstheme="minorHAnsi"/>
        </w:rPr>
        <w:t>The Commerce Act is not, however, the only mechanism to ensure that Government does not unduly limit competition without some compelling justification.</w:t>
      </w:r>
    </w:p>
    <w:p w14:paraId="0008181C" w14:textId="6F1D7593" w:rsidR="001C1874" w:rsidRPr="006450FB" w:rsidRDefault="00874485" w:rsidP="001112A6">
      <w:pPr>
        <w:pStyle w:val="TextindentedLR"/>
        <w:rPr>
          <w:rFonts w:asciiTheme="minorHAnsi" w:hAnsiTheme="minorHAnsi" w:cstheme="minorHAnsi"/>
        </w:rPr>
      </w:pPr>
      <w:r w:rsidRPr="006450FB">
        <w:rPr>
          <w:rFonts w:asciiTheme="minorHAnsi" w:hAnsiTheme="minorHAnsi" w:cstheme="minorHAnsi"/>
        </w:rPr>
        <w:t>First, many government policy decisions are subject to competition assessments in their development, through the preparation of a regulatory impact statement.</w:t>
      </w:r>
      <w:r w:rsidR="00B02B1A" w:rsidRPr="006450FB">
        <w:rPr>
          <w:rFonts w:asciiTheme="minorHAnsi" w:hAnsiTheme="minorHAnsi" w:cstheme="minorHAnsi"/>
        </w:rPr>
        <w:t xml:space="preserve"> </w:t>
      </w:r>
      <w:r w:rsidRPr="006450FB">
        <w:rPr>
          <w:rFonts w:asciiTheme="minorHAnsi" w:hAnsiTheme="minorHAnsi" w:cstheme="minorHAnsi"/>
        </w:rPr>
        <w:t xml:space="preserve">The Government has communicated to departments its expectations for the design of regulatory systems, one of which is that a regulatory system will seek </w:t>
      </w:r>
      <w:r w:rsidR="003D10F4" w:rsidRPr="006450FB">
        <w:rPr>
          <w:rFonts w:asciiTheme="minorHAnsi" w:hAnsiTheme="minorHAnsi" w:cstheme="minorHAnsi"/>
        </w:rPr>
        <w:t>“</w:t>
      </w:r>
      <w:r w:rsidRPr="006450FB">
        <w:rPr>
          <w:rFonts w:asciiTheme="minorHAnsi" w:hAnsiTheme="minorHAnsi" w:cstheme="minorHAnsi"/>
        </w:rPr>
        <w:t>to achieve [its] objectives in a least cost way, and with the least adverse impact on market competition, property rights, and individual autonomy and responsibility</w:t>
      </w:r>
      <w:r w:rsidR="005E4C08" w:rsidRPr="006450FB">
        <w:rPr>
          <w:rFonts w:asciiTheme="minorHAnsi" w:hAnsiTheme="minorHAnsi" w:cstheme="minorHAnsi"/>
        </w:rPr>
        <w:t>”</w:t>
      </w:r>
      <w:r w:rsidRPr="006450FB">
        <w:rPr>
          <w:rFonts w:asciiTheme="minorHAnsi" w:hAnsiTheme="minorHAnsi" w:cstheme="minorHAnsi"/>
        </w:rPr>
        <w:t>.</w:t>
      </w:r>
      <w:r w:rsidRPr="006450FB">
        <w:rPr>
          <w:rStyle w:val="FootnoteReference"/>
          <w:rFonts w:asciiTheme="minorHAnsi" w:hAnsiTheme="minorHAnsi" w:cstheme="minorHAnsi"/>
          <w:sz w:val="24"/>
          <w:szCs w:val="32"/>
        </w:rPr>
        <w:footnoteReference w:id="95"/>
      </w:r>
      <w:r w:rsidR="00B02B1A" w:rsidRPr="006450FB">
        <w:rPr>
          <w:rFonts w:asciiTheme="minorHAnsi" w:hAnsiTheme="minorHAnsi" w:cstheme="minorHAnsi"/>
        </w:rPr>
        <w:t xml:space="preserve"> </w:t>
      </w:r>
      <w:r w:rsidRPr="006450FB">
        <w:rPr>
          <w:rFonts w:asciiTheme="minorHAnsi" w:hAnsiTheme="minorHAnsi" w:cstheme="minorHAnsi"/>
        </w:rPr>
        <w:t>These are incorporated into Cabinet</w:t>
      </w:r>
      <w:r w:rsidR="00E329DA" w:rsidRPr="006450FB">
        <w:rPr>
          <w:rFonts w:asciiTheme="minorHAnsi" w:hAnsiTheme="minorHAnsi" w:cstheme="minorHAnsi"/>
        </w:rPr>
        <w:t>’</w:t>
      </w:r>
      <w:r w:rsidRPr="006450FB">
        <w:rPr>
          <w:rFonts w:asciiTheme="minorHAnsi" w:hAnsiTheme="minorHAnsi" w:cstheme="minorHAnsi"/>
        </w:rPr>
        <w:t>s Impact Analysis Requirements,</w:t>
      </w:r>
      <w:r w:rsidRPr="006450FB">
        <w:rPr>
          <w:rStyle w:val="FootnoteReference"/>
          <w:rFonts w:asciiTheme="minorHAnsi" w:hAnsiTheme="minorHAnsi" w:cstheme="minorHAnsi"/>
          <w:sz w:val="24"/>
          <w:szCs w:val="32"/>
        </w:rPr>
        <w:footnoteReference w:id="96"/>
      </w:r>
      <w:r w:rsidRPr="006450FB">
        <w:rPr>
          <w:rFonts w:asciiTheme="minorHAnsi" w:hAnsiTheme="minorHAnsi" w:cstheme="minorHAnsi"/>
        </w:rPr>
        <w:t xml:space="preserve"> and impacts on competition are, at least in theory, considered in Treasury</w:t>
      </w:r>
      <w:r w:rsidR="00E329DA" w:rsidRPr="006450FB">
        <w:rPr>
          <w:rFonts w:asciiTheme="minorHAnsi" w:hAnsiTheme="minorHAnsi" w:cstheme="minorHAnsi"/>
        </w:rPr>
        <w:t>’</w:t>
      </w:r>
      <w:r w:rsidRPr="006450FB">
        <w:rPr>
          <w:rFonts w:asciiTheme="minorHAnsi" w:hAnsiTheme="minorHAnsi" w:cstheme="minorHAnsi"/>
        </w:rPr>
        <w:t>s guidance on best practice for conducting impact analysis.</w:t>
      </w:r>
      <w:r w:rsidRPr="006450FB">
        <w:rPr>
          <w:rStyle w:val="FootnoteReference"/>
          <w:rFonts w:asciiTheme="minorHAnsi" w:hAnsiTheme="minorHAnsi" w:cstheme="minorHAnsi"/>
          <w:sz w:val="24"/>
          <w:szCs w:val="32"/>
        </w:rPr>
        <w:footnoteReference w:id="97"/>
      </w:r>
    </w:p>
    <w:p w14:paraId="34A8DD28" w14:textId="58347F76" w:rsidR="001C1874" w:rsidRPr="006450FB" w:rsidRDefault="00874485" w:rsidP="001112A6">
      <w:pPr>
        <w:pStyle w:val="TextindentedLR"/>
        <w:rPr>
          <w:rFonts w:asciiTheme="minorHAnsi" w:hAnsiTheme="minorHAnsi" w:cstheme="minorHAnsi"/>
        </w:rPr>
      </w:pPr>
      <w:r w:rsidRPr="006450FB">
        <w:rPr>
          <w:rFonts w:asciiTheme="minorHAnsi" w:hAnsiTheme="minorHAnsi" w:cstheme="minorHAnsi"/>
        </w:rPr>
        <w:t xml:space="preserve">Many </w:t>
      </w:r>
      <w:r w:rsidR="003D10F4" w:rsidRPr="006450FB">
        <w:rPr>
          <w:rFonts w:asciiTheme="minorHAnsi" w:hAnsiTheme="minorHAnsi" w:cstheme="minorHAnsi"/>
        </w:rPr>
        <w:t>g</w:t>
      </w:r>
      <w:r w:rsidRPr="006450FB">
        <w:rPr>
          <w:rFonts w:asciiTheme="minorHAnsi" w:hAnsiTheme="minorHAnsi" w:cstheme="minorHAnsi"/>
        </w:rPr>
        <w:t>overnment agencies will have little experience with competition and may need some assistance. The Commerce Commission has published guidance to assist public officials to identify and mitigate potential competition issues when developing policies or initiatives which may change market structure or behaviour.</w:t>
      </w:r>
      <w:r w:rsidRPr="006450FB">
        <w:rPr>
          <w:rStyle w:val="FootnoteReference"/>
          <w:rFonts w:asciiTheme="minorHAnsi" w:hAnsiTheme="minorHAnsi" w:cstheme="minorHAnsi"/>
          <w:sz w:val="24"/>
          <w:szCs w:val="32"/>
        </w:rPr>
        <w:footnoteReference w:id="98"/>
      </w:r>
      <w:r w:rsidRPr="006450FB">
        <w:rPr>
          <w:rFonts w:asciiTheme="minorHAnsi" w:hAnsiTheme="minorHAnsi" w:cstheme="minorHAnsi"/>
        </w:rPr>
        <w:t xml:space="preserve"> The OECD has also published a Competition Assessment Toolkit to assist with identifying unnecessary restraints on market activities and developing alternative, less restrictive measures that still achieve government policy objectives.</w:t>
      </w:r>
      <w:r w:rsidRPr="006450FB">
        <w:rPr>
          <w:rStyle w:val="FootnoteReference"/>
          <w:rFonts w:asciiTheme="minorHAnsi" w:hAnsiTheme="minorHAnsi" w:cstheme="minorHAnsi"/>
          <w:sz w:val="24"/>
          <w:szCs w:val="32"/>
        </w:rPr>
        <w:footnoteReference w:id="99"/>
      </w:r>
    </w:p>
    <w:p w14:paraId="3999EBAE" w14:textId="0760723D" w:rsidR="001C1874" w:rsidRPr="006450FB" w:rsidRDefault="00874485" w:rsidP="001112A6">
      <w:pPr>
        <w:pStyle w:val="TextindentedLR"/>
        <w:rPr>
          <w:rFonts w:asciiTheme="minorHAnsi" w:hAnsiTheme="minorHAnsi" w:cstheme="minorHAnsi"/>
        </w:rPr>
      </w:pPr>
      <w:r w:rsidRPr="006450FB">
        <w:rPr>
          <w:rFonts w:asciiTheme="minorHAnsi" w:hAnsiTheme="minorHAnsi" w:cstheme="minorHAnsi"/>
        </w:rPr>
        <w:t>In theory, these requirements should play an important role in ensuring competition is not subject to limitations that are not necessary to achieve the objectives that Government sets out to achieve.</w:t>
      </w:r>
      <w:r w:rsidR="001112A6" w:rsidRPr="006450FB">
        <w:rPr>
          <w:rFonts w:asciiTheme="minorHAnsi" w:hAnsiTheme="minorHAnsi" w:cstheme="minorHAnsi"/>
        </w:rPr>
        <w:t xml:space="preserve"> </w:t>
      </w:r>
      <w:r w:rsidRPr="006450FB">
        <w:rPr>
          <w:rFonts w:asciiTheme="minorHAnsi" w:hAnsiTheme="minorHAnsi" w:cstheme="minorHAnsi"/>
        </w:rPr>
        <w:t>In practice, inclusion in a regulatory impact assessment that is conducted at the end of policy development may see competition become another box to be ticked, with little substantive consideration to alternative options that limit competition to a lesser extent.</w:t>
      </w:r>
    </w:p>
    <w:p w14:paraId="156EBE69" w14:textId="625A1E02" w:rsidR="001C1874" w:rsidRPr="006450FB" w:rsidRDefault="00874485" w:rsidP="001112A6">
      <w:pPr>
        <w:pStyle w:val="TextindentedLR"/>
        <w:rPr>
          <w:rFonts w:asciiTheme="minorHAnsi" w:hAnsiTheme="minorHAnsi" w:cstheme="minorHAnsi"/>
        </w:rPr>
      </w:pPr>
      <w:r w:rsidRPr="006450FB">
        <w:rPr>
          <w:rFonts w:asciiTheme="minorHAnsi" w:hAnsiTheme="minorHAnsi" w:cstheme="minorHAnsi"/>
        </w:rPr>
        <w:t>Second, where regulatory decisions are undertaken by way of secondary legislation, that instrument may be subject to review by Parliament’s Regulations Review Committee. That Committee may investigate a complaint and ultimately refer secondary legislation to the House for disallowance.</w:t>
      </w:r>
    </w:p>
    <w:p w14:paraId="57741415" w14:textId="70812FE2" w:rsidR="001C1874" w:rsidRPr="006450FB" w:rsidRDefault="00874485" w:rsidP="003B130D">
      <w:pPr>
        <w:pStyle w:val="TextindentedLR"/>
        <w:rPr>
          <w:rFonts w:asciiTheme="minorHAnsi" w:hAnsiTheme="minorHAnsi" w:cstheme="minorHAnsi"/>
        </w:rPr>
      </w:pPr>
      <w:r w:rsidRPr="006450FB">
        <w:rPr>
          <w:rFonts w:asciiTheme="minorHAnsi" w:hAnsiTheme="minorHAnsi" w:cstheme="minorHAnsi"/>
        </w:rPr>
        <w:lastRenderedPageBreak/>
        <w:t>One of the grounds on which the Committee may make a referral is that a regulation provides for matters that are more appropriately dealt with in primary legislation.</w:t>
      </w:r>
      <w:bookmarkStart w:id="12" w:name="_Ref141010934"/>
      <w:r w:rsidRPr="006450FB">
        <w:rPr>
          <w:rStyle w:val="FootnoteReference"/>
          <w:rFonts w:asciiTheme="minorHAnsi" w:hAnsiTheme="minorHAnsi" w:cstheme="minorHAnsi"/>
          <w:sz w:val="24"/>
          <w:szCs w:val="32"/>
        </w:rPr>
        <w:footnoteReference w:id="100"/>
      </w:r>
      <w:bookmarkEnd w:id="12"/>
      <w:r w:rsidRPr="006450FB">
        <w:rPr>
          <w:rFonts w:asciiTheme="minorHAnsi" w:hAnsiTheme="minorHAnsi" w:cstheme="minorHAnsi"/>
        </w:rPr>
        <w:t xml:space="preserve"> In this author</w:t>
      </w:r>
      <w:r w:rsidR="003D10F4" w:rsidRPr="006450FB">
        <w:rPr>
          <w:rFonts w:asciiTheme="minorHAnsi" w:hAnsiTheme="minorHAnsi" w:cstheme="minorHAnsi"/>
        </w:rPr>
        <w:t>’</w:t>
      </w:r>
      <w:r w:rsidRPr="006450FB">
        <w:rPr>
          <w:rFonts w:asciiTheme="minorHAnsi" w:hAnsiTheme="minorHAnsi" w:cstheme="minorHAnsi"/>
        </w:rPr>
        <w:t>s view, and as discussed later, significant limits on competition are more appropriate for parliamentary authorisation through an enactment. The Regulations Review Committee applie</w:t>
      </w:r>
      <w:r w:rsidR="003D10F4" w:rsidRPr="006450FB">
        <w:rPr>
          <w:rFonts w:asciiTheme="minorHAnsi" w:hAnsiTheme="minorHAnsi" w:cstheme="minorHAnsi"/>
        </w:rPr>
        <w:t>d</w:t>
      </w:r>
      <w:r w:rsidRPr="006450FB">
        <w:rPr>
          <w:rFonts w:asciiTheme="minorHAnsi" w:hAnsiTheme="minorHAnsi" w:cstheme="minorHAnsi"/>
        </w:rPr>
        <w:t xml:space="preserve"> this ground when criticising the creation of a statutory monopoly for Kiwifruit Marketing via regulation.</w:t>
      </w:r>
      <w:bookmarkStart w:id="13" w:name="_Ref142418456"/>
      <w:r w:rsidRPr="006450FB">
        <w:rPr>
          <w:rStyle w:val="FootnoteReference"/>
          <w:rFonts w:asciiTheme="minorHAnsi" w:hAnsiTheme="minorHAnsi" w:cstheme="minorHAnsi"/>
          <w:sz w:val="24"/>
          <w:szCs w:val="32"/>
        </w:rPr>
        <w:footnoteReference w:id="101"/>
      </w:r>
      <w:bookmarkEnd w:id="13"/>
    </w:p>
    <w:p w14:paraId="3139B0EB" w14:textId="10C3C793" w:rsidR="00874485" w:rsidRPr="006450FB" w:rsidRDefault="00874485" w:rsidP="003B130D">
      <w:pPr>
        <w:pStyle w:val="TextindentedLR"/>
        <w:rPr>
          <w:rFonts w:asciiTheme="minorHAnsi" w:hAnsiTheme="minorHAnsi" w:cstheme="minorHAnsi"/>
        </w:rPr>
      </w:pPr>
      <w:r w:rsidRPr="006450FB">
        <w:rPr>
          <w:rFonts w:asciiTheme="minorHAnsi" w:hAnsiTheme="minorHAnsi" w:cstheme="minorHAnsi"/>
        </w:rPr>
        <w:t xml:space="preserve">Other grounds for referral may also be relevant. A regulation that limits competition may not be in accordance with the general objects and intentions of the empowering </w:t>
      </w:r>
      <w:r w:rsidR="008A2F93" w:rsidRPr="006450FB">
        <w:rPr>
          <w:rFonts w:asciiTheme="minorHAnsi" w:hAnsiTheme="minorHAnsi" w:cstheme="minorHAnsi"/>
        </w:rPr>
        <w:t>statute or</w:t>
      </w:r>
      <w:r w:rsidRPr="006450FB">
        <w:rPr>
          <w:rFonts w:asciiTheme="minorHAnsi" w:hAnsiTheme="minorHAnsi" w:cstheme="minorHAnsi"/>
        </w:rPr>
        <w:t xml:space="preserve"> may involve some unusual or unexpected use of the power.</w:t>
      </w:r>
      <w:r w:rsidRPr="006450FB">
        <w:rPr>
          <w:rStyle w:val="FootnoteReference"/>
          <w:rFonts w:asciiTheme="minorHAnsi" w:hAnsiTheme="minorHAnsi" w:cstheme="minorHAnsi"/>
          <w:sz w:val="24"/>
          <w:szCs w:val="32"/>
        </w:rPr>
        <w:footnoteReference w:id="102"/>
      </w:r>
      <w:r w:rsidR="008D0517" w:rsidRPr="006450FB">
        <w:rPr>
          <w:rFonts w:asciiTheme="minorHAnsi" w:hAnsiTheme="minorHAnsi" w:cstheme="minorHAnsi"/>
        </w:rPr>
        <w:t xml:space="preserve"> </w:t>
      </w:r>
      <w:r w:rsidRPr="006450FB">
        <w:rPr>
          <w:rFonts w:asciiTheme="minorHAnsi" w:hAnsiTheme="minorHAnsi" w:cstheme="minorHAnsi"/>
        </w:rPr>
        <w:t>On at least one occasion the Committee has considered whether regulations that ought to enhance competition were in fact contrary to the object of the legislation.</w:t>
      </w:r>
      <w:r w:rsidRPr="006450FB">
        <w:rPr>
          <w:rStyle w:val="FootnoteReference"/>
          <w:rFonts w:asciiTheme="minorHAnsi" w:hAnsiTheme="minorHAnsi" w:cstheme="minorHAnsi"/>
          <w:sz w:val="24"/>
          <w:szCs w:val="32"/>
        </w:rPr>
        <w:footnoteReference w:id="103"/>
      </w:r>
    </w:p>
    <w:p w14:paraId="7EC2A990" w14:textId="36B84922" w:rsidR="001C1874" w:rsidRPr="006450FB" w:rsidRDefault="00874485" w:rsidP="003B130D">
      <w:pPr>
        <w:pStyle w:val="TextindentedLR"/>
        <w:rPr>
          <w:rFonts w:asciiTheme="minorHAnsi" w:hAnsiTheme="minorHAnsi" w:cstheme="minorHAnsi"/>
        </w:rPr>
      </w:pPr>
      <w:r w:rsidRPr="006450FB">
        <w:rPr>
          <w:rFonts w:asciiTheme="minorHAnsi" w:hAnsiTheme="minorHAnsi" w:cstheme="minorHAnsi"/>
        </w:rPr>
        <w:t>Third, there is also the potential for anti-competitive government action to be challenged by way of judicial review.</w:t>
      </w:r>
      <w:r w:rsidRPr="006450FB">
        <w:rPr>
          <w:rStyle w:val="FootnoteReference"/>
          <w:rFonts w:asciiTheme="minorHAnsi" w:hAnsiTheme="minorHAnsi" w:cstheme="minorHAnsi"/>
          <w:sz w:val="24"/>
          <w:szCs w:val="32"/>
        </w:rPr>
        <w:footnoteReference w:id="104"/>
      </w:r>
      <w:r w:rsidR="008D0517" w:rsidRPr="006450FB">
        <w:rPr>
          <w:rFonts w:asciiTheme="minorHAnsi" w:hAnsiTheme="minorHAnsi" w:cstheme="minorHAnsi"/>
        </w:rPr>
        <w:t xml:space="preserve"> </w:t>
      </w:r>
      <w:r w:rsidRPr="006450FB">
        <w:rPr>
          <w:rFonts w:asciiTheme="minorHAnsi" w:hAnsiTheme="minorHAnsi" w:cstheme="minorHAnsi"/>
        </w:rPr>
        <w:t xml:space="preserve">Actions to restrict competition may be outside the contemplation of the </w:t>
      </w:r>
      <w:r w:rsidR="003D10F4" w:rsidRPr="006450FB">
        <w:rPr>
          <w:rFonts w:asciiTheme="minorHAnsi" w:hAnsiTheme="minorHAnsi" w:cstheme="minorHAnsi"/>
        </w:rPr>
        <w:t>P</w:t>
      </w:r>
      <w:r w:rsidRPr="006450FB">
        <w:rPr>
          <w:rFonts w:asciiTheme="minorHAnsi" w:hAnsiTheme="minorHAnsi" w:cstheme="minorHAnsi"/>
        </w:rPr>
        <w:t xml:space="preserve">arliament in drafting the empowering provisions, and therefore unlawful or unreasonable. It is arguable that legislation should not readily be interpreted as empowering the </w:t>
      </w:r>
      <w:r w:rsidR="003D10F4" w:rsidRPr="006450FB">
        <w:rPr>
          <w:rFonts w:asciiTheme="minorHAnsi" w:hAnsiTheme="minorHAnsi" w:cstheme="minorHAnsi"/>
        </w:rPr>
        <w:t>g</w:t>
      </w:r>
      <w:r w:rsidRPr="006450FB">
        <w:rPr>
          <w:rFonts w:asciiTheme="minorHAnsi" w:hAnsiTheme="minorHAnsi" w:cstheme="minorHAnsi"/>
        </w:rPr>
        <w:t xml:space="preserve">overnment to impose limitations on </w:t>
      </w:r>
      <w:r w:rsidR="00C70237" w:rsidRPr="006450FB">
        <w:rPr>
          <w:rFonts w:asciiTheme="minorHAnsi" w:hAnsiTheme="minorHAnsi" w:cstheme="minorHAnsi"/>
        </w:rPr>
        <w:t>competition unless</w:t>
      </w:r>
      <w:r w:rsidRPr="006450FB">
        <w:rPr>
          <w:rFonts w:asciiTheme="minorHAnsi" w:hAnsiTheme="minorHAnsi" w:cstheme="minorHAnsi"/>
        </w:rPr>
        <w:t xml:space="preserve"> it </w:t>
      </w:r>
      <w:r w:rsidR="00C06D5A" w:rsidRPr="006450FB">
        <w:rPr>
          <w:rFonts w:asciiTheme="minorHAnsi" w:hAnsiTheme="minorHAnsi" w:cstheme="minorHAnsi"/>
        </w:rPr>
        <w:t xml:space="preserve">is </w:t>
      </w:r>
      <w:r w:rsidRPr="006450FB">
        <w:rPr>
          <w:rFonts w:asciiTheme="minorHAnsi" w:hAnsiTheme="minorHAnsi" w:cstheme="minorHAnsi"/>
        </w:rPr>
        <w:t xml:space="preserve">expressly provided for or </w:t>
      </w:r>
      <w:r w:rsidR="00C06D5A" w:rsidRPr="006450FB">
        <w:rPr>
          <w:rFonts w:asciiTheme="minorHAnsi" w:hAnsiTheme="minorHAnsi" w:cstheme="minorHAnsi"/>
        </w:rPr>
        <w:t xml:space="preserve">a </w:t>
      </w:r>
      <w:r w:rsidRPr="006450FB">
        <w:rPr>
          <w:rFonts w:asciiTheme="minorHAnsi" w:hAnsiTheme="minorHAnsi" w:cstheme="minorHAnsi"/>
        </w:rPr>
        <w:t>necessary implication</w:t>
      </w:r>
      <w:r w:rsidR="00C06D5A" w:rsidRPr="006450FB">
        <w:rPr>
          <w:rFonts w:asciiTheme="minorHAnsi" w:hAnsiTheme="minorHAnsi" w:cstheme="minorHAnsi"/>
        </w:rPr>
        <w:t xml:space="preserve"> of the statutory framework</w:t>
      </w:r>
      <w:r w:rsidRPr="006450FB">
        <w:rPr>
          <w:rFonts w:asciiTheme="minorHAnsi" w:hAnsiTheme="minorHAnsi" w:cstheme="minorHAnsi"/>
        </w:rPr>
        <w:t>.</w:t>
      </w:r>
      <w:r w:rsidR="008D0517" w:rsidRPr="006450FB">
        <w:rPr>
          <w:rFonts w:asciiTheme="minorHAnsi" w:hAnsiTheme="minorHAnsi" w:cstheme="minorHAnsi"/>
        </w:rPr>
        <w:t xml:space="preserve"> </w:t>
      </w:r>
      <w:r w:rsidRPr="006450FB">
        <w:rPr>
          <w:rFonts w:asciiTheme="minorHAnsi" w:hAnsiTheme="minorHAnsi" w:cstheme="minorHAnsi"/>
        </w:rPr>
        <w:t>This would seem to be a logical corollary</w:t>
      </w:r>
      <w:r w:rsidR="008D0517" w:rsidRPr="006450FB">
        <w:rPr>
          <w:rFonts w:asciiTheme="minorHAnsi" w:hAnsiTheme="minorHAnsi" w:cstheme="minorHAnsi"/>
        </w:rPr>
        <w:t xml:space="preserve"> </w:t>
      </w:r>
      <w:r w:rsidRPr="006450FB">
        <w:rPr>
          <w:rFonts w:asciiTheme="minorHAnsi" w:hAnsiTheme="minorHAnsi" w:cstheme="minorHAnsi"/>
        </w:rPr>
        <w:t>of the Privy Council</w:t>
      </w:r>
      <w:r w:rsidR="00E329DA" w:rsidRPr="006450FB">
        <w:rPr>
          <w:rFonts w:asciiTheme="minorHAnsi" w:hAnsiTheme="minorHAnsi" w:cstheme="minorHAnsi"/>
        </w:rPr>
        <w:t>’</w:t>
      </w:r>
      <w:r w:rsidRPr="006450FB">
        <w:rPr>
          <w:rFonts w:asciiTheme="minorHAnsi" w:hAnsiTheme="minorHAnsi" w:cstheme="minorHAnsi"/>
        </w:rPr>
        <w:t xml:space="preserve">s decision in </w:t>
      </w:r>
      <w:r w:rsidRPr="006450FB">
        <w:rPr>
          <w:rFonts w:asciiTheme="minorHAnsi" w:hAnsiTheme="minorHAnsi" w:cstheme="minorHAnsi"/>
          <w:i/>
          <w:iCs/>
        </w:rPr>
        <w:t>Apple</w:t>
      </w:r>
      <w:r w:rsidR="0003439F" w:rsidRPr="006450FB">
        <w:rPr>
          <w:rFonts w:asciiTheme="minorHAnsi" w:hAnsiTheme="minorHAnsi" w:cstheme="minorHAnsi"/>
          <w:i/>
          <w:iCs/>
        </w:rPr>
        <w:t xml:space="preserve"> F</w:t>
      </w:r>
      <w:r w:rsidRPr="006450FB">
        <w:rPr>
          <w:rFonts w:asciiTheme="minorHAnsi" w:hAnsiTheme="minorHAnsi" w:cstheme="minorHAnsi"/>
          <w:i/>
          <w:iCs/>
        </w:rPr>
        <w:t>ields</w:t>
      </w:r>
      <w:r w:rsidRPr="006450FB">
        <w:rPr>
          <w:rFonts w:asciiTheme="minorHAnsi" w:hAnsiTheme="minorHAnsi" w:cstheme="minorHAnsi"/>
        </w:rPr>
        <w:t>, on the ambit of s 43, in which legislative instruments are not readily construed as providing an exception to the Commerce Act.</w:t>
      </w:r>
    </w:p>
    <w:p w14:paraId="3DB4469C" w14:textId="40D37F48" w:rsidR="001C1874" w:rsidRPr="006450FB" w:rsidRDefault="00874485" w:rsidP="003B130D">
      <w:pPr>
        <w:pStyle w:val="TextindentedLR"/>
        <w:rPr>
          <w:rFonts w:asciiTheme="minorHAnsi" w:hAnsiTheme="minorHAnsi" w:cstheme="minorHAnsi"/>
        </w:rPr>
      </w:pPr>
      <w:r w:rsidRPr="006450FB">
        <w:rPr>
          <w:rFonts w:asciiTheme="minorHAnsi" w:hAnsiTheme="minorHAnsi" w:cstheme="minorHAnsi"/>
        </w:rPr>
        <w:t xml:space="preserve">In many cases the relevant conduct may involve an administrative decision as to how the </w:t>
      </w:r>
      <w:r w:rsidR="003D10F4" w:rsidRPr="006450FB">
        <w:rPr>
          <w:rFonts w:asciiTheme="minorHAnsi" w:hAnsiTheme="minorHAnsi" w:cstheme="minorHAnsi"/>
        </w:rPr>
        <w:t>g</w:t>
      </w:r>
      <w:r w:rsidRPr="006450FB">
        <w:rPr>
          <w:rFonts w:asciiTheme="minorHAnsi" w:hAnsiTheme="minorHAnsi" w:cstheme="minorHAnsi"/>
        </w:rPr>
        <w:t xml:space="preserve">overnment intends to procure </w:t>
      </w:r>
      <w:r w:rsidR="008A2F93" w:rsidRPr="006450FB">
        <w:rPr>
          <w:rFonts w:asciiTheme="minorHAnsi" w:hAnsiTheme="minorHAnsi" w:cstheme="minorHAnsi"/>
        </w:rPr>
        <w:t>services or</w:t>
      </w:r>
      <w:r w:rsidRPr="006450FB">
        <w:rPr>
          <w:rFonts w:asciiTheme="minorHAnsi" w:hAnsiTheme="minorHAnsi" w:cstheme="minorHAnsi"/>
        </w:rPr>
        <w:t xml:space="preserve"> offer a concession. The exercise of public power may, in this case, have a commercial flavour. In such cases, the New Zealand </w:t>
      </w:r>
      <w:r w:rsidR="003D10F4" w:rsidRPr="006450FB">
        <w:rPr>
          <w:rFonts w:asciiTheme="minorHAnsi" w:hAnsiTheme="minorHAnsi" w:cstheme="minorHAnsi"/>
        </w:rPr>
        <w:t>c</w:t>
      </w:r>
      <w:r w:rsidRPr="006450FB">
        <w:rPr>
          <w:rFonts w:asciiTheme="minorHAnsi" w:hAnsiTheme="minorHAnsi" w:cstheme="minorHAnsi"/>
        </w:rPr>
        <w:t>ourts have proven themselves reluctant to intervene. It is now well established that in a commercial context, judicial review will normally only be available where there is fraud, corruption</w:t>
      </w:r>
      <w:r w:rsidR="00AC414D" w:rsidRPr="006450FB">
        <w:rPr>
          <w:rFonts w:asciiTheme="minorHAnsi" w:hAnsiTheme="minorHAnsi" w:cstheme="minorHAnsi"/>
        </w:rPr>
        <w:t>,</w:t>
      </w:r>
      <w:r w:rsidRPr="006450FB">
        <w:rPr>
          <w:rFonts w:asciiTheme="minorHAnsi" w:hAnsiTheme="minorHAnsi" w:cstheme="minorHAnsi"/>
        </w:rPr>
        <w:t xml:space="preserve"> or bad faith, or </w:t>
      </w:r>
      <w:r w:rsidR="00EC0410" w:rsidRPr="006450FB">
        <w:rPr>
          <w:rFonts w:asciiTheme="minorHAnsi" w:hAnsiTheme="minorHAnsi" w:cstheme="minorHAnsi"/>
        </w:rPr>
        <w:t>some</w:t>
      </w:r>
      <w:r w:rsidRPr="006450FB">
        <w:rPr>
          <w:rFonts w:asciiTheme="minorHAnsi" w:hAnsiTheme="minorHAnsi" w:cstheme="minorHAnsi"/>
        </w:rPr>
        <w:t xml:space="preserve"> analogous situation.</w:t>
      </w:r>
      <w:r w:rsidRPr="006450FB">
        <w:rPr>
          <w:rStyle w:val="FootnoteReference"/>
          <w:rFonts w:asciiTheme="minorHAnsi" w:hAnsiTheme="minorHAnsi" w:cstheme="minorHAnsi"/>
          <w:sz w:val="24"/>
          <w:szCs w:val="32"/>
        </w:rPr>
        <w:footnoteReference w:id="105"/>
      </w:r>
      <w:r w:rsidR="008D0517" w:rsidRPr="006450FB">
        <w:rPr>
          <w:rFonts w:asciiTheme="minorHAnsi" w:hAnsiTheme="minorHAnsi" w:cstheme="minorHAnsi"/>
        </w:rPr>
        <w:t xml:space="preserve"> </w:t>
      </w:r>
      <w:r w:rsidRPr="006450FB">
        <w:rPr>
          <w:rFonts w:asciiTheme="minorHAnsi" w:hAnsiTheme="minorHAnsi" w:cstheme="minorHAnsi"/>
        </w:rPr>
        <w:t xml:space="preserve">This raises the potential for a significant gap where the decisions of </w:t>
      </w:r>
      <w:r w:rsidR="003D10F4" w:rsidRPr="006450FB">
        <w:rPr>
          <w:rFonts w:asciiTheme="minorHAnsi" w:hAnsiTheme="minorHAnsi" w:cstheme="minorHAnsi"/>
        </w:rPr>
        <w:t>g</w:t>
      </w:r>
      <w:r w:rsidRPr="006450FB">
        <w:rPr>
          <w:rFonts w:asciiTheme="minorHAnsi" w:hAnsiTheme="minorHAnsi" w:cstheme="minorHAnsi"/>
        </w:rPr>
        <w:t xml:space="preserve">overnment are sufficiently commercial that the </w:t>
      </w:r>
      <w:r w:rsidR="003D10F4" w:rsidRPr="006450FB">
        <w:rPr>
          <w:rFonts w:asciiTheme="minorHAnsi" w:hAnsiTheme="minorHAnsi" w:cstheme="minorHAnsi"/>
        </w:rPr>
        <w:t>c</w:t>
      </w:r>
      <w:r w:rsidRPr="006450FB">
        <w:rPr>
          <w:rFonts w:asciiTheme="minorHAnsi" w:hAnsiTheme="minorHAnsi" w:cstheme="minorHAnsi"/>
        </w:rPr>
        <w:t xml:space="preserve">ourt will be reluctant to intervene, but sufficiently regulatory that they are not taken </w:t>
      </w:r>
      <w:r w:rsidR="008D0517" w:rsidRPr="006450FB">
        <w:rPr>
          <w:rFonts w:asciiTheme="minorHAnsi" w:hAnsiTheme="minorHAnsi" w:cstheme="minorHAnsi"/>
        </w:rPr>
        <w:t>“</w:t>
      </w:r>
      <w:r w:rsidRPr="006450FB">
        <w:rPr>
          <w:rFonts w:asciiTheme="minorHAnsi" w:hAnsiTheme="minorHAnsi" w:cstheme="minorHAnsi"/>
        </w:rPr>
        <w:t>in trade</w:t>
      </w:r>
      <w:r w:rsidR="008D0517" w:rsidRPr="006450FB">
        <w:rPr>
          <w:rFonts w:asciiTheme="minorHAnsi" w:hAnsiTheme="minorHAnsi" w:cstheme="minorHAnsi"/>
        </w:rPr>
        <w:t>”</w:t>
      </w:r>
      <w:r w:rsidRPr="006450FB">
        <w:rPr>
          <w:rFonts w:asciiTheme="minorHAnsi" w:hAnsiTheme="minorHAnsi" w:cstheme="minorHAnsi"/>
        </w:rPr>
        <w:t>.</w:t>
      </w:r>
    </w:p>
    <w:p w14:paraId="7EF87DFA" w14:textId="402EDD6C" w:rsidR="001C1874" w:rsidRPr="006450FB" w:rsidRDefault="00874485" w:rsidP="003B130D">
      <w:pPr>
        <w:pStyle w:val="TextindentedLR"/>
        <w:rPr>
          <w:rFonts w:asciiTheme="minorHAnsi" w:hAnsiTheme="minorHAnsi" w:cstheme="minorHAnsi"/>
        </w:rPr>
      </w:pPr>
      <w:r w:rsidRPr="006450FB">
        <w:rPr>
          <w:rFonts w:asciiTheme="minorHAnsi" w:hAnsiTheme="minorHAnsi" w:cstheme="minorHAnsi"/>
        </w:rPr>
        <w:t xml:space="preserve">Finally, and most recently added, </w:t>
      </w:r>
      <w:r w:rsidR="003D10F4" w:rsidRPr="006450FB">
        <w:rPr>
          <w:rFonts w:asciiTheme="minorHAnsi" w:hAnsiTheme="minorHAnsi" w:cstheme="minorHAnsi"/>
        </w:rPr>
        <w:t>pt</w:t>
      </w:r>
      <w:r w:rsidRPr="006450FB">
        <w:rPr>
          <w:rFonts w:asciiTheme="minorHAnsi" w:hAnsiTheme="minorHAnsi" w:cstheme="minorHAnsi"/>
        </w:rPr>
        <w:t xml:space="preserve"> 3A of the Commerce Act enables the Commerce Commission to undertake market studies. When examining competition for the goods or services that are under study, the Commission can, and so far has, look at how government is affecting competition.</w:t>
      </w:r>
      <w:r w:rsidRPr="006450FB">
        <w:rPr>
          <w:rStyle w:val="FootnoteReference"/>
          <w:rFonts w:asciiTheme="minorHAnsi" w:hAnsiTheme="minorHAnsi" w:cstheme="minorHAnsi"/>
          <w:sz w:val="24"/>
          <w:szCs w:val="32"/>
        </w:rPr>
        <w:footnoteReference w:id="106"/>
      </w:r>
      <w:r w:rsidRPr="006450FB">
        <w:rPr>
          <w:rFonts w:asciiTheme="minorHAnsi" w:hAnsiTheme="minorHAnsi" w:cstheme="minorHAnsi"/>
        </w:rPr>
        <w:t xml:space="preserve"> It is very early days in the life of the</w:t>
      </w:r>
      <w:r w:rsidR="003373DA" w:rsidRPr="006450FB">
        <w:rPr>
          <w:rFonts w:asciiTheme="minorHAnsi" w:hAnsiTheme="minorHAnsi" w:cstheme="minorHAnsi"/>
        </w:rPr>
        <w:t xml:space="preserve"> New Zealand</w:t>
      </w:r>
      <w:r w:rsidRPr="006450FB">
        <w:rPr>
          <w:rFonts w:asciiTheme="minorHAnsi" w:hAnsiTheme="minorHAnsi" w:cstheme="minorHAnsi"/>
        </w:rPr>
        <w:t xml:space="preserve"> market study function, </w:t>
      </w:r>
      <w:r w:rsidR="00DF3FE9" w:rsidRPr="006450FB">
        <w:rPr>
          <w:rFonts w:asciiTheme="minorHAnsi" w:hAnsiTheme="minorHAnsi" w:cstheme="minorHAnsi"/>
        </w:rPr>
        <w:t xml:space="preserve">so it remains to be seen whether the </w:t>
      </w:r>
      <w:r w:rsidR="003D10F4" w:rsidRPr="006450FB">
        <w:rPr>
          <w:rFonts w:asciiTheme="minorHAnsi" w:hAnsiTheme="minorHAnsi" w:cstheme="minorHAnsi"/>
        </w:rPr>
        <w:t>g</w:t>
      </w:r>
      <w:r w:rsidR="00DF3FE9" w:rsidRPr="006450FB">
        <w:rPr>
          <w:rFonts w:asciiTheme="minorHAnsi" w:hAnsiTheme="minorHAnsi" w:cstheme="minorHAnsi"/>
        </w:rPr>
        <w:t xml:space="preserve">overnment adopts </w:t>
      </w:r>
      <w:r w:rsidR="008B2FDE" w:rsidRPr="006450FB">
        <w:rPr>
          <w:rFonts w:asciiTheme="minorHAnsi" w:hAnsiTheme="minorHAnsi" w:cstheme="minorHAnsi"/>
        </w:rPr>
        <w:t>Commission recommendations in relation to government policies that limit competition.</w:t>
      </w:r>
    </w:p>
    <w:p w14:paraId="7D0B8C50" w14:textId="60F14E1A" w:rsidR="00535036" w:rsidRPr="006450FB" w:rsidRDefault="00874485" w:rsidP="003B130D">
      <w:pPr>
        <w:pStyle w:val="TextindentedLR"/>
        <w:rPr>
          <w:rFonts w:asciiTheme="minorHAnsi" w:hAnsiTheme="minorHAnsi" w:cstheme="minorHAnsi"/>
        </w:rPr>
      </w:pPr>
      <w:r w:rsidRPr="006450FB">
        <w:rPr>
          <w:rFonts w:asciiTheme="minorHAnsi" w:hAnsiTheme="minorHAnsi" w:cstheme="minorHAnsi"/>
        </w:rPr>
        <w:t xml:space="preserve">Taken together, these factors may provide some additional reassurance that, although not subject the Commerce Act, the </w:t>
      </w:r>
      <w:r w:rsidR="003D10F4" w:rsidRPr="006450FB">
        <w:rPr>
          <w:rFonts w:asciiTheme="minorHAnsi" w:hAnsiTheme="minorHAnsi" w:cstheme="minorHAnsi"/>
        </w:rPr>
        <w:t>g</w:t>
      </w:r>
      <w:r w:rsidRPr="006450FB">
        <w:rPr>
          <w:rFonts w:asciiTheme="minorHAnsi" w:hAnsiTheme="minorHAnsi" w:cstheme="minorHAnsi"/>
        </w:rPr>
        <w:t>overnment may be constrained in its ability to limit competition without some compelling justification. If the Crown exception were to be reviewed and its breadth continued, it may be desirable for these forms of constraint to be strengthened.</w:t>
      </w:r>
    </w:p>
    <w:p w14:paraId="76606278" w14:textId="6CEE643C" w:rsidR="00FF3B7B" w:rsidRPr="006450FB" w:rsidRDefault="00FF3B7B" w:rsidP="00FF3B7B">
      <w:pPr>
        <w:pStyle w:val="Heading1LR"/>
        <w:rPr>
          <w:rFonts w:asciiTheme="minorHAnsi" w:hAnsiTheme="minorHAnsi" w:cstheme="minorHAnsi"/>
        </w:rPr>
      </w:pPr>
      <w:r>
        <w:rPr>
          <w:rFonts w:asciiTheme="minorHAnsi" w:hAnsiTheme="minorHAnsi" w:cstheme="minorHAnsi"/>
        </w:rPr>
        <w:lastRenderedPageBreak/>
        <w:t>VI</w:t>
      </w:r>
      <w:r w:rsidRPr="006450FB">
        <w:rPr>
          <w:rFonts w:asciiTheme="minorHAnsi" w:hAnsiTheme="minorHAnsi" w:cstheme="minorHAnsi"/>
        </w:rPr>
        <w:t xml:space="preserve"> </w:t>
      </w:r>
      <w:r w:rsidRPr="006450FB">
        <w:rPr>
          <w:rFonts w:asciiTheme="minorHAnsi" w:hAnsiTheme="minorHAnsi" w:cstheme="minorHAnsi"/>
        </w:rPr>
        <w:tab/>
        <w:t>When should the Crown be able to limit competition?</w:t>
      </w:r>
    </w:p>
    <w:p w14:paraId="6AAE9FAF" w14:textId="77777777" w:rsidR="00FF3B7B" w:rsidRPr="006450FB" w:rsidRDefault="00FF3B7B" w:rsidP="00FF3B7B">
      <w:pPr>
        <w:pStyle w:val="TextnoindentLR"/>
        <w:rPr>
          <w:rFonts w:asciiTheme="minorHAnsi" w:hAnsiTheme="minorHAnsi" w:cstheme="minorHAnsi"/>
        </w:rPr>
      </w:pPr>
      <w:r w:rsidRPr="006450FB">
        <w:rPr>
          <w:rFonts w:asciiTheme="minorHAnsi" w:hAnsiTheme="minorHAnsi" w:cstheme="minorHAnsi"/>
          <w:szCs w:val="32"/>
        </w:rPr>
        <w:t>It</w:t>
      </w:r>
      <w:r w:rsidRPr="006450FB">
        <w:rPr>
          <w:rFonts w:asciiTheme="minorHAnsi" w:hAnsiTheme="minorHAnsi" w:cstheme="minorHAnsi"/>
        </w:rPr>
        <w:t xml:space="preserve"> has long been accepted that trading enterprises owned by the state should be subject to “competitive neutrality” — a level playing field with those enterprises not owned by the state.</w:t>
      </w:r>
      <w:r w:rsidRPr="006450FB">
        <w:rPr>
          <w:rStyle w:val="FootnoteReference"/>
          <w:rFonts w:asciiTheme="minorHAnsi" w:eastAsia="Calibri" w:hAnsiTheme="minorHAnsi" w:cstheme="minorHAnsi"/>
          <w:color w:val="000000" w:themeColor="text1"/>
          <w:sz w:val="24"/>
          <w:szCs w:val="24"/>
        </w:rPr>
        <w:footnoteReference w:id="107"/>
      </w:r>
      <w:r w:rsidRPr="006450FB">
        <w:rPr>
          <w:rFonts w:asciiTheme="minorHAnsi" w:hAnsiTheme="minorHAnsi" w:cstheme="minorHAnsi"/>
        </w:rPr>
        <w:t xml:space="preserve"> Tying the Crown exception to situations when the Crown is in trade goes a long way to achieving “competitive neutrality” in relation to competition law. Is there reason to believe it should go further?</w:t>
      </w:r>
    </w:p>
    <w:p w14:paraId="4830F3C9" w14:textId="77777777" w:rsidR="00FF3B7B" w:rsidRPr="006450FB" w:rsidRDefault="00FF3B7B" w:rsidP="00FF3B7B">
      <w:pPr>
        <w:pStyle w:val="TextindentedLR"/>
        <w:rPr>
          <w:rFonts w:asciiTheme="minorHAnsi" w:hAnsiTheme="minorHAnsi" w:cstheme="minorHAnsi"/>
        </w:rPr>
      </w:pPr>
      <w:r w:rsidRPr="006450FB">
        <w:rPr>
          <w:rFonts w:asciiTheme="minorHAnsi" w:hAnsiTheme="minorHAnsi" w:cstheme="minorHAnsi"/>
        </w:rPr>
        <w:t xml:space="preserve">When the Harper Review looked at the application of competition law to the Australian federal, state, and local government, it noted </w:t>
      </w:r>
      <w:r w:rsidRPr="006450FB">
        <w:rPr>
          <w:rFonts w:asciiTheme="minorHAnsi" w:hAnsiTheme="minorHAnsi" w:cstheme="minorHAnsi"/>
          <w:szCs w:val="32"/>
        </w:rPr>
        <w:t>the Crown’s capacity to enhance or harm competition went further than its commercial arrangements, and included a range of policies and regulations that may affect competition.</w:t>
      </w:r>
      <w:r w:rsidRPr="006450FB">
        <w:rPr>
          <w:rStyle w:val="FootnoteReference"/>
          <w:rFonts w:asciiTheme="minorHAnsi" w:hAnsiTheme="minorHAnsi" w:cstheme="minorHAnsi"/>
          <w:sz w:val="24"/>
          <w:szCs w:val="32"/>
        </w:rPr>
        <w:footnoteReference w:id="108"/>
      </w:r>
      <w:r w:rsidRPr="006450FB">
        <w:rPr>
          <w:rFonts w:asciiTheme="minorHAnsi" w:hAnsiTheme="minorHAnsi" w:cstheme="minorHAnsi"/>
          <w:szCs w:val="32"/>
        </w:rPr>
        <w:t xml:space="preserve"> </w:t>
      </w:r>
      <w:r w:rsidRPr="006450FB">
        <w:rPr>
          <w:rFonts w:asciiTheme="minorHAnsi" w:hAnsiTheme="minorHAnsi" w:cstheme="minorHAnsi"/>
        </w:rPr>
        <w:t>The Harper Review noted, and endorsed, that a tenant of Australia’s National Competition Policy has been that competition should not be impeded unless it must be, in order to secure the public interest.</w:t>
      </w:r>
      <w:r w:rsidRPr="006450FB">
        <w:rPr>
          <w:rStyle w:val="FootnoteReference"/>
          <w:rFonts w:asciiTheme="minorHAnsi" w:eastAsia="Calibri" w:hAnsiTheme="minorHAnsi" w:cstheme="minorHAnsi"/>
          <w:color w:val="000000" w:themeColor="text1"/>
          <w:sz w:val="24"/>
          <w:szCs w:val="24"/>
        </w:rPr>
        <w:footnoteReference w:id="109"/>
      </w:r>
    </w:p>
    <w:p w14:paraId="19053F7D" w14:textId="77777777" w:rsidR="00FF3B7B" w:rsidRPr="006450FB" w:rsidRDefault="00FF3B7B" w:rsidP="00FF3B7B">
      <w:pPr>
        <w:pStyle w:val="TextindentedLR"/>
        <w:rPr>
          <w:rFonts w:asciiTheme="minorHAnsi" w:hAnsiTheme="minorHAnsi" w:cstheme="minorHAnsi"/>
          <w:szCs w:val="32"/>
        </w:rPr>
      </w:pPr>
      <w:r w:rsidRPr="006450FB">
        <w:rPr>
          <w:rFonts w:asciiTheme="minorHAnsi" w:hAnsiTheme="minorHAnsi" w:cstheme="minorHAnsi"/>
          <w:szCs w:val="32"/>
        </w:rPr>
        <w:t>More recently, market studies in New Zealand have prompted calls for greater focus on the role of government in creating limits on competition.</w:t>
      </w:r>
      <w:r w:rsidRPr="006450FB">
        <w:rPr>
          <w:rStyle w:val="FootnoteReference"/>
          <w:rFonts w:asciiTheme="minorHAnsi" w:hAnsiTheme="minorHAnsi" w:cstheme="minorHAnsi"/>
          <w:sz w:val="24"/>
          <w:szCs w:val="32"/>
        </w:rPr>
        <w:footnoteReference w:id="110"/>
      </w:r>
      <w:r w:rsidRPr="006450FB">
        <w:rPr>
          <w:rFonts w:asciiTheme="minorHAnsi" w:hAnsiTheme="minorHAnsi" w:cstheme="minorHAnsi"/>
          <w:szCs w:val="32"/>
        </w:rPr>
        <w:t xml:space="preserve"> Concerns have been raised over government created barriers to entry in a range of industries, including insurance and medical professions. The application of competition law has been seen as potentially imposing more discipline on government. As Dr Eric Crampton noted:</w:t>
      </w:r>
      <w:r w:rsidRPr="006450FB">
        <w:rPr>
          <w:rStyle w:val="FootnoteReference"/>
          <w:rFonts w:asciiTheme="minorHAnsi" w:hAnsiTheme="minorHAnsi" w:cstheme="minorHAnsi"/>
          <w:sz w:val="24"/>
          <w:szCs w:val="32"/>
        </w:rPr>
        <w:footnoteReference w:id="111"/>
      </w:r>
    </w:p>
    <w:p w14:paraId="79614D3D" w14:textId="77777777" w:rsidR="00FF3B7B" w:rsidRPr="006450FB" w:rsidRDefault="00FF3B7B" w:rsidP="00FF3B7B">
      <w:pPr>
        <w:pStyle w:val="TextindentedLR"/>
        <w:ind w:firstLine="0"/>
        <w:rPr>
          <w:rFonts w:asciiTheme="minorHAnsi" w:hAnsiTheme="minorHAnsi" w:cstheme="minorHAnsi"/>
          <w:szCs w:val="32"/>
        </w:rPr>
      </w:pPr>
    </w:p>
    <w:p w14:paraId="24DD0B28" w14:textId="77777777" w:rsidR="00FF3B7B" w:rsidRPr="006450FB" w:rsidRDefault="00FF3B7B" w:rsidP="00FF3B7B">
      <w:pPr>
        <w:pStyle w:val="QuoteLR"/>
        <w:rPr>
          <w:rFonts w:asciiTheme="minorHAnsi" w:hAnsiTheme="minorHAnsi" w:cstheme="minorHAnsi"/>
        </w:rPr>
      </w:pPr>
      <w:r w:rsidRPr="006450FB">
        <w:rPr>
          <w:rFonts w:asciiTheme="minorHAnsi" w:hAnsiTheme="minorHAnsi" w:cstheme="minorHAnsi"/>
        </w:rPr>
        <w:t>… it is great fun to imagine how regulatory quality, and real competition, might improve if regulators worried about starring in a later Commerce Commission investigation should their drafted rules do more to protect competitors from competition than to further any real public interest.</w:t>
      </w:r>
    </w:p>
    <w:p w14:paraId="4F01C9E2" w14:textId="77777777" w:rsidR="00FF3B7B" w:rsidRPr="006450FB" w:rsidRDefault="00FF3B7B" w:rsidP="00FF3B7B">
      <w:pPr>
        <w:pStyle w:val="QuoteLR"/>
        <w:ind w:left="0"/>
        <w:rPr>
          <w:rFonts w:asciiTheme="minorHAnsi" w:hAnsiTheme="minorHAnsi" w:cstheme="minorHAnsi"/>
        </w:rPr>
      </w:pPr>
    </w:p>
    <w:p w14:paraId="12AAC077" w14:textId="77777777" w:rsidR="00FF3B7B" w:rsidRPr="006450FB" w:rsidRDefault="00FF3B7B" w:rsidP="00FF3B7B">
      <w:pPr>
        <w:pStyle w:val="TextnoindentLR"/>
        <w:rPr>
          <w:rFonts w:asciiTheme="minorHAnsi" w:hAnsiTheme="minorHAnsi" w:cstheme="minorHAnsi"/>
        </w:rPr>
      </w:pPr>
      <w:r w:rsidRPr="006450FB">
        <w:rPr>
          <w:rFonts w:asciiTheme="minorHAnsi" w:hAnsiTheme="minorHAnsi" w:cstheme="minorHAnsi"/>
        </w:rPr>
        <w:t>The concern that government efforts to achieve some public purpose may result in harm to competition is not unique to Australia and New Zealand. Indeed, some economists would suggest this is a feature of government intervention that may see firms welcome the prospect of regulation.</w:t>
      </w:r>
      <w:r w:rsidRPr="006450FB">
        <w:rPr>
          <w:rStyle w:val="FootnoteReference"/>
          <w:rFonts w:asciiTheme="minorHAnsi" w:eastAsia="Calibri" w:hAnsiTheme="minorHAnsi" w:cstheme="minorHAnsi"/>
          <w:color w:val="000000" w:themeColor="text1"/>
          <w:sz w:val="24"/>
          <w:szCs w:val="24"/>
        </w:rPr>
        <w:footnoteReference w:id="112"/>
      </w:r>
      <w:r w:rsidRPr="006450FB">
        <w:rPr>
          <w:rFonts w:asciiTheme="minorHAnsi" w:hAnsiTheme="minorHAnsi" w:cstheme="minorHAnsi"/>
        </w:rPr>
        <w:t xml:space="preserve"> Some regulators may agree.</w:t>
      </w:r>
      <w:r w:rsidRPr="006450FB">
        <w:rPr>
          <w:rStyle w:val="FootnoteReference"/>
          <w:rFonts w:asciiTheme="minorHAnsi" w:eastAsia="Calibri" w:hAnsiTheme="minorHAnsi" w:cstheme="minorHAnsi"/>
          <w:color w:val="000000" w:themeColor="text1"/>
          <w:sz w:val="24"/>
          <w:szCs w:val="24"/>
        </w:rPr>
        <w:footnoteReference w:id="113"/>
      </w:r>
    </w:p>
    <w:p w14:paraId="3BA65525" w14:textId="77777777" w:rsidR="00FF3B7B" w:rsidRPr="006450FB" w:rsidRDefault="00FF3B7B" w:rsidP="00FF3B7B">
      <w:pPr>
        <w:pStyle w:val="TextindentedLR"/>
        <w:rPr>
          <w:rFonts w:asciiTheme="minorHAnsi" w:hAnsiTheme="minorHAnsi" w:cstheme="minorHAnsi"/>
        </w:rPr>
      </w:pPr>
      <w:r w:rsidRPr="006450FB">
        <w:rPr>
          <w:rFonts w:asciiTheme="minorHAnsi" w:hAnsiTheme="minorHAnsi" w:cstheme="minorHAnsi"/>
        </w:rPr>
        <w:t>In 2009, the OECD adopted a recommendation that called for governments to identify public policies, existing or proposed, that unduly restrict competition and to adopt more pro-competitive alternatives.</w:t>
      </w:r>
      <w:r w:rsidRPr="006450FB">
        <w:rPr>
          <w:rStyle w:val="FootnoteReference"/>
          <w:rFonts w:asciiTheme="minorHAnsi" w:eastAsia="Calibri" w:hAnsiTheme="minorHAnsi" w:cstheme="minorHAnsi"/>
          <w:color w:val="000000" w:themeColor="text1"/>
          <w:sz w:val="24"/>
          <w:szCs w:val="24"/>
        </w:rPr>
        <w:footnoteReference w:id="114"/>
      </w:r>
      <w:r w:rsidRPr="006450FB">
        <w:rPr>
          <w:rFonts w:asciiTheme="minorHAnsi" w:hAnsiTheme="minorHAnsi" w:cstheme="minorHAnsi"/>
        </w:rPr>
        <w:t xml:space="preserve"> The recommendation recognised that public policy could unduly restrict competition, but that such policies could frequently be reformed in a way that promotes market competition while achieving their public policy objectives. The recommendation defined</w:t>
      </w:r>
      <w:r w:rsidRPr="006450FB">
        <w:rPr>
          <w:rFonts w:asciiTheme="minorHAnsi" w:hAnsiTheme="minorHAnsi" w:cstheme="minorHAnsi"/>
          <w:szCs w:val="32"/>
        </w:rPr>
        <w:t xml:space="preserve"> a policy as unduly restricting competition when the restrictions on competition needed for achieving public interest objectives are greater than is necessary, when taking into account feasible alternatives and their cost.</w:t>
      </w:r>
      <w:r w:rsidRPr="006450FB">
        <w:rPr>
          <w:rFonts w:asciiTheme="minorHAnsi" w:hAnsiTheme="minorHAnsi" w:cstheme="minorHAnsi"/>
        </w:rPr>
        <w:t xml:space="preserve"> The 2009 recommendation focused primarily on regulatory assessment during the development or review of government policies.</w:t>
      </w:r>
    </w:p>
    <w:p w14:paraId="771D43F4" w14:textId="77777777" w:rsidR="00FF3B7B" w:rsidRPr="006450FB" w:rsidRDefault="00FF3B7B" w:rsidP="00FF3B7B">
      <w:pPr>
        <w:pStyle w:val="TextindentedLR"/>
        <w:rPr>
          <w:rFonts w:asciiTheme="minorHAnsi" w:hAnsiTheme="minorHAnsi" w:cstheme="minorHAnsi"/>
        </w:rPr>
      </w:pPr>
      <w:r w:rsidRPr="006450FB">
        <w:rPr>
          <w:rFonts w:asciiTheme="minorHAnsi" w:hAnsiTheme="minorHAnsi" w:cstheme="minorHAnsi"/>
        </w:rPr>
        <w:t>In 2014, the OECD reviewed member countries’ experience in implementing the recommendation.</w:t>
      </w:r>
      <w:r w:rsidRPr="006450FB">
        <w:rPr>
          <w:rStyle w:val="FootnoteReference"/>
          <w:rFonts w:asciiTheme="minorHAnsi" w:eastAsia="Calibri" w:hAnsiTheme="minorHAnsi" w:cstheme="minorHAnsi"/>
          <w:color w:val="000000" w:themeColor="text1"/>
          <w:sz w:val="24"/>
          <w:szCs w:val="24"/>
        </w:rPr>
        <w:footnoteReference w:id="115"/>
      </w:r>
      <w:r w:rsidRPr="006450FB">
        <w:rPr>
          <w:rFonts w:asciiTheme="minorHAnsi" w:hAnsiTheme="minorHAnsi" w:cstheme="minorHAnsi"/>
        </w:rPr>
        <w:t xml:space="preserve"> The review noted that a number of jurisdictions had developed systems of challenge whereby the competition authority could either directly overrule government decisions challenge them via an independent body.</w:t>
      </w:r>
      <w:r w:rsidRPr="006450FB">
        <w:rPr>
          <w:rStyle w:val="FootnoteReference"/>
          <w:rFonts w:asciiTheme="minorHAnsi" w:eastAsia="Calibri" w:hAnsiTheme="minorHAnsi" w:cstheme="minorHAnsi"/>
          <w:color w:val="000000" w:themeColor="text1"/>
          <w:sz w:val="24"/>
          <w:szCs w:val="24"/>
        </w:rPr>
        <w:footnoteReference w:id="116"/>
      </w:r>
      <w:r w:rsidRPr="006450FB">
        <w:rPr>
          <w:rFonts w:asciiTheme="minorHAnsi" w:hAnsiTheme="minorHAnsi" w:cstheme="minorHAnsi"/>
        </w:rPr>
        <w:t xml:space="preserve"> These challenges were seen as something of a last resort, </w:t>
      </w:r>
      <w:r w:rsidRPr="006450FB">
        <w:rPr>
          <w:rFonts w:asciiTheme="minorHAnsi" w:hAnsiTheme="minorHAnsi" w:cstheme="minorHAnsi"/>
        </w:rPr>
        <w:lastRenderedPageBreak/>
        <w:t>where more informal advocacy had failed. This was found to be an effective measure to reduce undue restrictions on competition, including because “the possibility of future challenge of unnecessarily restrictive policies appears to be a consideration during the initial proposal of policies and measures”.</w:t>
      </w:r>
      <w:r w:rsidRPr="006450FB">
        <w:rPr>
          <w:rStyle w:val="FootnoteReference"/>
          <w:rFonts w:asciiTheme="minorHAnsi" w:eastAsia="Calibri" w:hAnsiTheme="minorHAnsi" w:cstheme="minorHAnsi"/>
          <w:color w:val="000000" w:themeColor="text1"/>
          <w:sz w:val="24"/>
          <w:szCs w:val="24"/>
        </w:rPr>
        <w:footnoteReference w:id="117"/>
      </w:r>
      <w:r w:rsidRPr="006450FB">
        <w:rPr>
          <w:rFonts w:asciiTheme="minorHAnsi" w:hAnsiTheme="minorHAnsi" w:cstheme="minorHAnsi"/>
        </w:rPr>
        <w:t xml:space="preserve"> It was noted that the possibility of challenge was missing from the existing recommendation.</w:t>
      </w:r>
    </w:p>
    <w:p w14:paraId="38C4EDD7" w14:textId="77777777" w:rsidR="00FF3B7B" w:rsidRPr="006450FB" w:rsidRDefault="00FF3B7B" w:rsidP="00FF3B7B">
      <w:pPr>
        <w:pStyle w:val="TextindentedLR"/>
        <w:rPr>
          <w:rFonts w:asciiTheme="minorHAnsi" w:hAnsiTheme="minorHAnsi" w:cstheme="minorHAnsi"/>
        </w:rPr>
      </w:pPr>
      <w:r w:rsidRPr="006450FB">
        <w:rPr>
          <w:rFonts w:asciiTheme="minorHAnsi" w:hAnsiTheme="minorHAnsi" w:cstheme="minorHAnsi"/>
        </w:rPr>
        <w:t>A revised recommendation was published in December 2019.</w:t>
      </w:r>
      <w:r w:rsidRPr="006450FB">
        <w:rPr>
          <w:rStyle w:val="FootnoteReference"/>
          <w:rFonts w:asciiTheme="minorHAnsi" w:eastAsia="Calibri" w:hAnsiTheme="minorHAnsi" w:cstheme="minorHAnsi"/>
          <w:color w:val="000000" w:themeColor="text1"/>
          <w:sz w:val="24"/>
          <w:szCs w:val="24"/>
        </w:rPr>
        <w:footnoteReference w:id="118"/>
      </w:r>
      <w:r w:rsidRPr="006450FB">
        <w:rPr>
          <w:rFonts w:asciiTheme="minorHAnsi" w:hAnsiTheme="minorHAnsi" w:cstheme="minorHAnsi"/>
        </w:rPr>
        <w:t xml:space="preserve"> Arguably the only material change was as additional passage in Recommendation A on exceptions to competition law.</w:t>
      </w:r>
      <w:r w:rsidRPr="006450FB">
        <w:rPr>
          <w:rStyle w:val="FootnoteReference"/>
          <w:rFonts w:asciiTheme="minorHAnsi" w:eastAsia="Calibri" w:hAnsiTheme="minorHAnsi" w:cstheme="minorHAnsi"/>
          <w:color w:val="000000" w:themeColor="text1"/>
          <w:sz w:val="24"/>
          <w:szCs w:val="24"/>
        </w:rPr>
        <w:footnoteReference w:id="119"/>
      </w:r>
      <w:r w:rsidRPr="006450FB">
        <w:rPr>
          <w:rFonts w:asciiTheme="minorHAnsi" w:hAnsiTheme="minorHAnsi" w:cstheme="minorHAnsi"/>
        </w:rPr>
        <w:t xml:space="preserve"> This recommended that exceptions should be narrowly drafted and interpreted:</w:t>
      </w:r>
    </w:p>
    <w:p w14:paraId="75E510DE" w14:textId="77777777" w:rsidR="00FF3B7B" w:rsidRPr="006450FB" w:rsidRDefault="00FF3B7B" w:rsidP="00FF3B7B">
      <w:pPr>
        <w:pStyle w:val="TextindentedLR"/>
        <w:ind w:firstLine="0"/>
        <w:rPr>
          <w:rFonts w:asciiTheme="minorHAnsi" w:hAnsiTheme="minorHAnsi" w:cstheme="minorHAnsi"/>
        </w:rPr>
      </w:pPr>
    </w:p>
    <w:p w14:paraId="6FC50497" w14:textId="77777777" w:rsidR="00FF3B7B" w:rsidRPr="006450FB" w:rsidRDefault="00FF3B7B" w:rsidP="00FF3B7B">
      <w:pPr>
        <w:pStyle w:val="QuoteLR"/>
        <w:rPr>
          <w:rFonts w:asciiTheme="minorHAnsi" w:hAnsiTheme="minorHAnsi" w:cstheme="minorHAnsi"/>
        </w:rPr>
      </w:pPr>
      <w:r w:rsidRPr="006450FB">
        <w:rPr>
          <w:rFonts w:asciiTheme="minorHAnsi" w:hAnsiTheme="minorHAnsi" w:cstheme="minorHAnsi"/>
        </w:rPr>
        <w:t>Governments should ensure that exceptions from competition law are no broader than necessary to achieve their public interest objectives and that these exceptions are interpreted narrowly. Exceptions should only apply to those business activities that are required to achieve the stated policy objective. This principle also implies that any new exception should be defined for a limited period of time, typically by including a sunset date, so that no exception would persist when it is no longer necessary to achieve the identified policy objective.</w:t>
      </w:r>
    </w:p>
    <w:p w14:paraId="744DFD14" w14:textId="77777777" w:rsidR="00FF3B7B" w:rsidRPr="006450FB" w:rsidRDefault="00FF3B7B" w:rsidP="00FF3B7B">
      <w:pPr>
        <w:pStyle w:val="QuoteLR"/>
        <w:ind w:left="0"/>
        <w:rPr>
          <w:rFonts w:asciiTheme="minorHAnsi" w:hAnsiTheme="minorHAnsi" w:cstheme="minorHAnsi"/>
        </w:rPr>
      </w:pPr>
    </w:p>
    <w:p w14:paraId="6EF2DB94" w14:textId="77777777" w:rsidR="00FF3B7B" w:rsidRPr="006450FB" w:rsidRDefault="00FF3B7B" w:rsidP="00FF3B7B">
      <w:pPr>
        <w:pStyle w:val="TextnoindentLR"/>
        <w:rPr>
          <w:rFonts w:asciiTheme="minorHAnsi" w:hAnsiTheme="minorHAnsi" w:cstheme="minorHAnsi"/>
        </w:rPr>
      </w:pPr>
      <w:r w:rsidRPr="006450FB">
        <w:rPr>
          <w:rFonts w:asciiTheme="minorHAnsi" w:hAnsiTheme="minorHAnsi" w:cstheme="minorHAnsi"/>
        </w:rPr>
        <w:t>The recommendation was a general one, not limited to exceptions provided to state actors, but logically applying to them. Taken together with OECD definition of undue limits on competition, it provides a useful benchmark against which any exception can be tested.</w:t>
      </w:r>
    </w:p>
    <w:p w14:paraId="75DEAB95" w14:textId="77777777" w:rsidR="00FF3B7B" w:rsidRPr="006450FB" w:rsidRDefault="00FF3B7B" w:rsidP="00FF3B7B">
      <w:pPr>
        <w:pStyle w:val="TextindentedLR"/>
        <w:rPr>
          <w:rFonts w:asciiTheme="minorHAnsi" w:hAnsiTheme="minorHAnsi" w:cstheme="minorHAnsi"/>
        </w:rPr>
      </w:pPr>
      <w:r w:rsidRPr="006450FB">
        <w:rPr>
          <w:rFonts w:asciiTheme="minorHAnsi" w:hAnsiTheme="minorHAnsi" w:cstheme="minorHAnsi"/>
        </w:rPr>
        <w:t>Against that benchmark, the Crown exceptions in the Commerce Act fare poorly. They apply broadly to the Crown in all its activities when not engaged in trade and have not been reviewed in nearly forty years. No consideration is given to any particular limit on competition is necessary to achieve any particular public purpose. No consideration is required of alternative, less restrictive options that might achieve that purpose without harming competition.</w:t>
      </w:r>
    </w:p>
    <w:p w14:paraId="0D1B6771" w14:textId="6F1901F8" w:rsidR="00874485" w:rsidRPr="006450FB" w:rsidRDefault="00535036" w:rsidP="003B130D">
      <w:pPr>
        <w:pStyle w:val="Heading1LR"/>
        <w:rPr>
          <w:rFonts w:asciiTheme="minorHAnsi" w:hAnsiTheme="minorHAnsi" w:cstheme="minorHAnsi"/>
        </w:rPr>
      </w:pPr>
      <w:r w:rsidRPr="006450FB">
        <w:rPr>
          <w:rFonts w:asciiTheme="minorHAnsi" w:hAnsiTheme="minorHAnsi" w:cstheme="minorHAnsi"/>
        </w:rPr>
        <w:t>V</w:t>
      </w:r>
      <w:r w:rsidR="007A40C5">
        <w:rPr>
          <w:rFonts w:asciiTheme="minorHAnsi" w:hAnsiTheme="minorHAnsi" w:cstheme="minorHAnsi"/>
        </w:rPr>
        <w:t>II</w:t>
      </w:r>
      <w:r w:rsidR="001112A6" w:rsidRPr="006450FB">
        <w:rPr>
          <w:rFonts w:asciiTheme="minorHAnsi" w:hAnsiTheme="minorHAnsi" w:cstheme="minorHAnsi"/>
        </w:rPr>
        <w:t xml:space="preserve">  </w:t>
      </w:r>
      <w:r w:rsidR="00874485" w:rsidRPr="006450FB">
        <w:rPr>
          <w:rFonts w:asciiTheme="minorHAnsi" w:hAnsiTheme="minorHAnsi" w:cstheme="minorHAnsi"/>
        </w:rPr>
        <w:t xml:space="preserve">An </w:t>
      </w:r>
      <w:r w:rsidR="003B130D" w:rsidRPr="006450FB">
        <w:rPr>
          <w:rFonts w:asciiTheme="minorHAnsi" w:hAnsiTheme="minorHAnsi" w:cstheme="minorHAnsi"/>
        </w:rPr>
        <w:t>E</w:t>
      </w:r>
      <w:r w:rsidR="00874485" w:rsidRPr="006450FB">
        <w:rPr>
          <w:rFonts w:asciiTheme="minorHAnsi" w:hAnsiTheme="minorHAnsi" w:cstheme="minorHAnsi"/>
        </w:rPr>
        <w:t xml:space="preserve">xception </w:t>
      </w:r>
      <w:r w:rsidR="003B130D" w:rsidRPr="006450FB">
        <w:rPr>
          <w:rFonts w:asciiTheme="minorHAnsi" w:hAnsiTheme="minorHAnsi" w:cstheme="minorHAnsi"/>
        </w:rPr>
        <w:t>O</w:t>
      </w:r>
      <w:r w:rsidR="000637C7" w:rsidRPr="006450FB">
        <w:rPr>
          <w:rFonts w:asciiTheme="minorHAnsi" w:hAnsiTheme="minorHAnsi" w:cstheme="minorHAnsi"/>
        </w:rPr>
        <w:t xml:space="preserve">nly </w:t>
      </w:r>
      <w:r w:rsidR="00874485" w:rsidRPr="006450FB">
        <w:rPr>
          <w:rFonts w:asciiTheme="minorHAnsi" w:hAnsiTheme="minorHAnsi" w:cstheme="minorHAnsi"/>
        </w:rPr>
        <w:t xml:space="preserve">for </w:t>
      </w:r>
      <w:r w:rsidR="003B130D" w:rsidRPr="006450FB">
        <w:rPr>
          <w:rFonts w:asciiTheme="minorHAnsi" w:hAnsiTheme="minorHAnsi" w:cstheme="minorHAnsi"/>
        </w:rPr>
        <w:t>L</w:t>
      </w:r>
      <w:r w:rsidR="00874485" w:rsidRPr="006450FB">
        <w:rPr>
          <w:rFonts w:asciiTheme="minorHAnsi" w:hAnsiTheme="minorHAnsi" w:cstheme="minorHAnsi"/>
        </w:rPr>
        <w:t xml:space="preserve">imits on </w:t>
      </w:r>
      <w:r w:rsidR="003B130D" w:rsidRPr="006450FB">
        <w:rPr>
          <w:rFonts w:asciiTheme="minorHAnsi" w:hAnsiTheme="minorHAnsi" w:cstheme="minorHAnsi"/>
        </w:rPr>
        <w:t>C</w:t>
      </w:r>
      <w:r w:rsidR="00874485" w:rsidRPr="006450FB">
        <w:rPr>
          <w:rFonts w:asciiTheme="minorHAnsi" w:hAnsiTheme="minorHAnsi" w:cstheme="minorHAnsi"/>
        </w:rPr>
        <w:t xml:space="preserve">ompetition that are </w:t>
      </w:r>
      <w:r w:rsidR="003B130D" w:rsidRPr="006450FB">
        <w:rPr>
          <w:rFonts w:asciiTheme="minorHAnsi" w:hAnsiTheme="minorHAnsi" w:cstheme="minorHAnsi"/>
        </w:rPr>
        <w:t>R</w:t>
      </w:r>
      <w:r w:rsidR="00874485" w:rsidRPr="006450FB">
        <w:rPr>
          <w:rFonts w:asciiTheme="minorHAnsi" w:hAnsiTheme="minorHAnsi" w:cstheme="minorHAnsi"/>
        </w:rPr>
        <w:t xml:space="preserve">easonably </w:t>
      </w:r>
      <w:r w:rsidR="003B130D" w:rsidRPr="006450FB">
        <w:rPr>
          <w:rFonts w:asciiTheme="minorHAnsi" w:hAnsiTheme="minorHAnsi" w:cstheme="minorHAnsi"/>
        </w:rPr>
        <w:t>N</w:t>
      </w:r>
      <w:r w:rsidR="00874485" w:rsidRPr="006450FB">
        <w:rPr>
          <w:rFonts w:asciiTheme="minorHAnsi" w:hAnsiTheme="minorHAnsi" w:cstheme="minorHAnsi"/>
        </w:rPr>
        <w:t>ecessary?</w:t>
      </w:r>
    </w:p>
    <w:p w14:paraId="752BA6EC" w14:textId="1F42C7E4" w:rsidR="007A3827" w:rsidRPr="006450FB" w:rsidRDefault="00EC0410" w:rsidP="003B130D">
      <w:pPr>
        <w:pStyle w:val="TextnoindentLR"/>
        <w:rPr>
          <w:rFonts w:asciiTheme="minorHAnsi" w:hAnsiTheme="minorHAnsi" w:cstheme="minorHAnsi"/>
        </w:rPr>
      </w:pPr>
      <w:r w:rsidRPr="006450FB">
        <w:rPr>
          <w:rFonts w:asciiTheme="minorHAnsi" w:hAnsiTheme="minorHAnsi" w:cstheme="minorHAnsi"/>
        </w:rPr>
        <w:t>As noted above, i</w:t>
      </w:r>
      <w:r w:rsidR="000573EB" w:rsidRPr="006450FB">
        <w:rPr>
          <w:rFonts w:asciiTheme="minorHAnsi" w:hAnsiTheme="minorHAnsi" w:cstheme="minorHAnsi"/>
        </w:rPr>
        <w:t xml:space="preserve">t is not always clear who the Crown is, nor when it is in trade. Both of these matters should, and could, be made more certain. </w:t>
      </w:r>
      <w:r w:rsidR="006A0143" w:rsidRPr="006450FB">
        <w:rPr>
          <w:rFonts w:asciiTheme="minorHAnsi" w:hAnsiTheme="minorHAnsi" w:cstheme="minorHAnsi"/>
        </w:rPr>
        <w:t xml:space="preserve">But </w:t>
      </w:r>
      <w:r w:rsidR="00E7375E" w:rsidRPr="006450FB">
        <w:rPr>
          <w:rFonts w:asciiTheme="minorHAnsi" w:hAnsiTheme="minorHAnsi" w:cstheme="minorHAnsi"/>
        </w:rPr>
        <w:t>minor changes</w:t>
      </w:r>
      <w:r w:rsidR="006A0143" w:rsidRPr="006450FB">
        <w:rPr>
          <w:rFonts w:asciiTheme="minorHAnsi" w:hAnsiTheme="minorHAnsi" w:cstheme="minorHAnsi"/>
        </w:rPr>
        <w:t xml:space="preserve"> would not address the fact that much public power is</w:t>
      </w:r>
      <w:r w:rsidR="00325D5E" w:rsidRPr="006450FB">
        <w:rPr>
          <w:rFonts w:asciiTheme="minorHAnsi" w:hAnsiTheme="minorHAnsi" w:cstheme="minorHAnsi"/>
        </w:rPr>
        <w:t xml:space="preserve"> </w:t>
      </w:r>
      <w:r w:rsidR="00394A40" w:rsidRPr="006450FB">
        <w:rPr>
          <w:rFonts w:asciiTheme="minorHAnsi" w:hAnsiTheme="minorHAnsi" w:cstheme="minorHAnsi"/>
        </w:rPr>
        <w:t>exercised</w:t>
      </w:r>
      <w:r w:rsidR="00325D5E" w:rsidRPr="006450FB">
        <w:rPr>
          <w:rFonts w:asciiTheme="minorHAnsi" w:hAnsiTheme="minorHAnsi" w:cstheme="minorHAnsi"/>
        </w:rPr>
        <w:t xml:space="preserve"> by bodies who are not the Crown</w:t>
      </w:r>
      <w:r w:rsidR="00E7375E" w:rsidRPr="006450FB">
        <w:rPr>
          <w:rFonts w:asciiTheme="minorHAnsi" w:hAnsiTheme="minorHAnsi" w:cstheme="minorHAnsi"/>
        </w:rPr>
        <w:t>, nor that the current exception</w:t>
      </w:r>
      <w:r w:rsidR="00325D5E" w:rsidRPr="006450FB">
        <w:rPr>
          <w:rFonts w:asciiTheme="minorHAnsi" w:hAnsiTheme="minorHAnsi" w:cstheme="minorHAnsi"/>
        </w:rPr>
        <w:t xml:space="preserve"> </w:t>
      </w:r>
      <w:r w:rsidR="00E7375E" w:rsidRPr="006450FB">
        <w:rPr>
          <w:rFonts w:asciiTheme="minorHAnsi" w:hAnsiTheme="minorHAnsi" w:cstheme="minorHAnsi"/>
        </w:rPr>
        <w:t>permits the government to limit competition even where that is unnecessary and harmful to the public</w:t>
      </w:r>
      <w:r w:rsidR="007A3827" w:rsidRPr="006450FB">
        <w:rPr>
          <w:rFonts w:asciiTheme="minorHAnsi" w:hAnsiTheme="minorHAnsi" w:cstheme="minorHAnsi"/>
        </w:rPr>
        <w:t>. While there are some other mechanisms, they do not appear to be sufficient.</w:t>
      </w:r>
    </w:p>
    <w:p w14:paraId="4C0D1E37" w14:textId="1CB8F3B2" w:rsidR="00391276" w:rsidRPr="006450FB" w:rsidRDefault="00647203" w:rsidP="00CA7C8B">
      <w:pPr>
        <w:pStyle w:val="TextindentedLR"/>
        <w:rPr>
          <w:rFonts w:asciiTheme="minorHAnsi" w:hAnsiTheme="minorHAnsi" w:cstheme="minorHAnsi"/>
        </w:rPr>
      </w:pPr>
      <w:r w:rsidRPr="006450FB">
        <w:rPr>
          <w:rFonts w:asciiTheme="minorHAnsi" w:hAnsiTheme="minorHAnsi" w:cstheme="minorHAnsi"/>
        </w:rPr>
        <w:t xml:space="preserve">One </w:t>
      </w:r>
      <w:r w:rsidR="007A3827" w:rsidRPr="006450FB">
        <w:rPr>
          <w:rFonts w:asciiTheme="minorHAnsi" w:hAnsiTheme="minorHAnsi" w:cstheme="minorHAnsi"/>
        </w:rPr>
        <w:t>response to this would</w:t>
      </w:r>
      <w:r w:rsidRPr="006450FB">
        <w:rPr>
          <w:rFonts w:asciiTheme="minorHAnsi" w:hAnsiTheme="minorHAnsi" w:cstheme="minorHAnsi"/>
        </w:rPr>
        <w:t xml:space="preserve"> be to repeal the Crown exception and</w:t>
      </w:r>
      <w:r w:rsidR="007A3827" w:rsidRPr="006450FB">
        <w:rPr>
          <w:rFonts w:asciiTheme="minorHAnsi" w:hAnsiTheme="minorHAnsi" w:cstheme="minorHAnsi"/>
        </w:rPr>
        <w:t xml:space="preserve"> provide simply that the Commerce Act applied to the Crown.</w:t>
      </w:r>
      <w:r w:rsidR="00E03C30" w:rsidRPr="006450FB">
        <w:rPr>
          <w:rStyle w:val="FootnoteReference"/>
          <w:rFonts w:asciiTheme="minorHAnsi" w:hAnsiTheme="minorHAnsi" w:cstheme="minorHAnsi"/>
          <w:sz w:val="24"/>
          <w:szCs w:val="24"/>
        </w:rPr>
        <w:footnoteReference w:id="120"/>
      </w:r>
      <w:r w:rsidR="007A3827" w:rsidRPr="006450FB">
        <w:rPr>
          <w:rFonts w:asciiTheme="minorHAnsi" w:hAnsiTheme="minorHAnsi" w:cstheme="minorHAnsi"/>
        </w:rPr>
        <w:t xml:space="preserve"> </w:t>
      </w:r>
      <w:r w:rsidR="00E03C30" w:rsidRPr="006450FB">
        <w:rPr>
          <w:rFonts w:asciiTheme="minorHAnsi" w:hAnsiTheme="minorHAnsi" w:cstheme="minorHAnsi"/>
        </w:rPr>
        <w:t>Government action to limit competition would then need to obtain</w:t>
      </w:r>
      <w:r w:rsidRPr="006450FB">
        <w:rPr>
          <w:rFonts w:asciiTheme="minorHAnsi" w:hAnsiTheme="minorHAnsi" w:cstheme="minorHAnsi"/>
        </w:rPr>
        <w:t xml:space="preserve"> </w:t>
      </w:r>
      <w:r w:rsidR="00CA2A72" w:rsidRPr="006450FB">
        <w:rPr>
          <w:rFonts w:asciiTheme="minorHAnsi" w:hAnsiTheme="minorHAnsi" w:cstheme="minorHAnsi"/>
        </w:rPr>
        <w:t xml:space="preserve">Parliamentary approval </w:t>
      </w:r>
      <w:r w:rsidR="00E727D6" w:rsidRPr="006450FB">
        <w:rPr>
          <w:rFonts w:asciiTheme="minorHAnsi" w:hAnsiTheme="minorHAnsi" w:cstheme="minorHAnsi"/>
        </w:rPr>
        <w:t xml:space="preserve">through </w:t>
      </w:r>
      <w:r w:rsidR="00CA2A72" w:rsidRPr="006450FB">
        <w:rPr>
          <w:rFonts w:asciiTheme="minorHAnsi" w:hAnsiTheme="minorHAnsi" w:cstheme="minorHAnsi"/>
        </w:rPr>
        <w:t>express statutory authorisation</w:t>
      </w:r>
      <w:r w:rsidR="000637C7" w:rsidRPr="006450FB">
        <w:rPr>
          <w:rFonts w:asciiTheme="minorHAnsi" w:hAnsiTheme="minorHAnsi" w:cstheme="minorHAnsi"/>
        </w:rPr>
        <w:t xml:space="preserve"> for the purposes of s</w:t>
      </w:r>
      <w:r w:rsidR="00E87F7D" w:rsidRPr="006450FB">
        <w:rPr>
          <w:rFonts w:asciiTheme="minorHAnsi" w:hAnsiTheme="minorHAnsi" w:cstheme="minorHAnsi"/>
        </w:rPr>
        <w:t xml:space="preserve"> </w:t>
      </w:r>
      <w:r w:rsidR="000637C7" w:rsidRPr="006450FB">
        <w:rPr>
          <w:rFonts w:asciiTheme="minorHAnsi" w:hAnsiTheme="minorHAnsi" w:cstheme="minorHAnsi"/>
        </w:rPr>
        <w:t>43 of the Commerce Act</w:t>
      </w:r>
      <w:r w:rsidR="00E727D6" w:rsidRPr="006450FB">
        <w:rPr>
          <w:rFonts w:asciiTheme="minorHAnsi" w:hAnsiTheme="minorHAnsi" w:cstheme="minorHAnsi"/>
        </w:rPr>
        <w:t>, or Commission approval via an authorisation</w:t>
      </w:r>
      <w:r w:rsidR="000637C7" w:rsidRPr="006450FB">
        <w:rPr>
          <w:rFonts w:asciiTheme="minorHAnsi" w:hAnsiTheme="minorHAnsi" w:cstheme="minorHAnsi"/>
        </w:rPr>
        <w:t xml:space="preserve"> under s </w:t>
      </w:r>
      <w:r w:rsidR="005C2E01" w:rsidRPr="006450FB">
        <w:rPr>
          <w:rFonts w:asciiTheme="minorHAnsi" w:hAnsiTheme="minorHAnsi" w:cstheme="minorHAnsi"/>
        </w:rPr>
        <w:t>61</w:t>
      </w:r>
      <w:r w:rsidR="00E727D6" w:rsidRPr="006450FB">
        <w:rPr>
          <w:rFonts w:asciiTheme="minorHAnsi" w:hAnsiTheme="minorHAnsi" w:cstheme="minorHAnsi"/>
        </w:rPr>
        <w:t xml:space="preserve">. </w:t>
      </w:r>
      <w:r w:rsidR="00265887" w:rsidRPr="006450FB">
        <w:rPr>
          <w:rFonts w:asciiTheme="minorHAnsi" w:hAnsiTheme="minorHAnsi" w:cstheme="minorHAnsi"/>
        </w:rPr>
        <w:t>From a transparency perspective</w:t>
      </w:r>
      <w:r w:rsidR="006A5E85" w:rsidRPr="006450FB">
        <w:rPr>
          <w:rFonts w:asciiTheme="minorHAnsi" w:hAnsiTheme="minorHAnsi" w:cstheme="minorHAnsi"/>
        </w:rPr>
        <w:t xml:space="preserve">, this would be </w:t>
      </w:r>
      <w:r w:rsidR="00427585" w:rsidRPr="006450FB">
        <w:rPr>
          <w:rFonts w:asciiTheme="minorHAnsi" w:hAnsiTheme="minorHAnsi" w:cstheme="minorHAnsi"/>
        </w:rPr>
        <w:t xml:space="preserve">a </w:t>
      </w:r>
      <w:r w:rsidR="006A5E85" w:rsidRPr="006450FB">
        <w:rPr>
          <w:rFonts w:asciiTheme="minorHAnsi" w:hAnsiTheme="minorHAnsi" w:cstheme="minorHAnsi"/>
        </w:rPr>
        <w:t xml:space="preserve">significant </w:t>
      </w:r>
      <w:r w:rsidR="00C123A1" w:rsidRPr="006450FB">
        <w:rPr>
          <w:rFonts w:asciiTheme="minorHAnsi" w:hAnsiTheme="minorHAnsi" w:cstheme="minorHAnsi"/>
        </w:rPr>
        <w:t>improvement on the current position</w:t>
      </w:r>
      <w:r w:rsidR="006A5E85" w:rsidRPr="006450FB">
        <w:rPr>
          <w:rFonts w:asciiTheme="minorHAnsi" w:hAnsiTheme="minorHAnsi" w:cstheme="minorHAnsi"/>
        </w:rPr>
        <w:t xml:space="preserve">. </w:t>
      </w:r>
      <w:r w:rsidR="004176DC" w:rsidRPr="006450FB">
        <w:rPr>
          <w:rFonts w:asciiTheme="minorHAnsi" w:hAnsiTheme="minorHAnsi" w:cstheme="minorHAnsi"/>
        </w:rPr>
        <w:t xml:space="preserve">The Crown would be required to </w:t>
      </w:r>
      <w:r w:rsidR="00110213" w:rsidRPr="006450FB">
        <w:rPr>
          <w:rFonts w:asciiTheme="minorHAnsi" w:hAnsiTheme="minorHAnsi" w:cstheme="minorHAnsi"/>
        </w:rPr>
        <w:t>justify</w:t>
      </w:r>
      <w:r w:rsidR="004176DC" w:rsidRPr="006450FB">
        <w:rPr>
          <w:rFonts w:asciiTheme="minorHAnsi" w:hAnsiTheme="minorHAnsi" w:cstheme="minorHAnsi"/>
        </w:rPr>
        <w:t xml:space="preserve"> to Parliament</w:t>
      </w:r>
      <w:r w:rsidR="003344BF" w:rsidRPr="006450FB">
        <w:rPr>
          <w:rFonts w:asciiTheme="minorHAnsi" w:hAnsiTheme="minorHAnsi" w:cstheme="minorHAnsi"/>
        </w:rPr>
        <w:t>,</w:t>
      </w:r>
      <w:r w:rsidR="004176DC" w:rsidRPr="006450FB">
        <w:rPr>
          <w:rFonts w:asciiTheme="minorHAnsi" w:hAnsiTheme="minorHAnsi" w:cstheme="minorHAnsi"/>
        </w:rPr>
        <w:t xml:space="preserve"> or the Commission, why </w:t>
      </w:r>
      <w:r w:rsidR="001E7311" w:rsidRPr="006450FB">
        <w:rPr>
          <w:rFonts w:asciiTheme="minorHAnsi" w:hAnsiTheme="minorHAnsi" w:cstheme="minorHAnsi"/>
        </w:rPr>
        <w:t>a limitation on competition was necessary to achieve some public benefit.</w:t>
      </w:r>
    </w:p>
    <w:p w14:paraId="0371FE15" w14:textId="39CAA915" w:rsidR="00391276" w:rsidRPr="006450FB" w:rsidRDefault="00E91D73" w:rsidP="003B130D">
      <w:pPr>
        <w:pStyle w:val="TextindentedLR"/>
        <w:rPr>
          <w:rFonts w:asciiTheme="minorHAnsi" w:hAnsiTheme="minorHAnsi" w:cstheme="minorHAnsi"/>
        </w:rPr>
      </w:pPr>
      <w:r w:rsidRPr="006450FB">
        <w:rPr>
          <w:rFonts w:asciiTheme="minorHAnsi" w:hAnsiTheme="minorHAnsi" w:cstheme="minorHAnsi"/>
        </w:rPr>
        <w:t>Such an approach w</w:t>
      </w:r>
      <w:r w:rsidR="00F001D4" w:rsidRPr="006450FB">
        <w:rPr>
          <w:rFonts w:asciiTheme="minorHAnsi" w:hAnsiTheme="minorHAnsi" w:cstheme="minorHAnsi"/>
        </w:rPr>
        <w:t>ould</w:t>
      </w:r>
      <w:r w:rsidRPr="006450FB">
        <w:rPr>
          <w:rFonts w:asciiTheme="minorHAnsi" w:hAnsiTheme="minorHAnsi" w:cstheme="minorHAnsi"/>
        </w:rPr>
        <w:t>, however,</w:t>
      </w:r>
      <w:r w:rsidR="00F001D4" w:rsidRPr="006450FB">
        <w:rPr>
          <w:rFonts w:asciiTheme="minorHAnsi" w:hAnsiTheme="minorHAnsi" w:cstheme="minorHAnsi"/>
        </w:rPr>
        <w:t xml:space="preserve"> involve considerable</w:t>
      </w:r>
      <w:r w:rsidR="00975715" w:rsidRPr="006450FB">
        <w:rPr>
          <w:rFonts w:asciiTheme="minorHAnsi" w:hAnsiTheme="minorHAnsi" w:cstheme="minorHAnsi"/>
        </w:rPr>
        <w:t xml:space="preserve"> up</w:t>
      </w:r>
      <w:r w:rsidR="00951793" w:rsidRPr="006450FB">
        <w:rPr>
          <w:rFonts w:asciiTheme="minorHAnsi" w:hAnsiTheme="minorHAnsi" w:cstheme="minorHAnsi"/>
        </w:rPr>
        <w:t>-</w:t>
      </w:r>
      <w:r w:rsidR="00975715" w:rsidRPr="006450FB">
        <w:rPr>
          <w:rFonts w:asciiTheme="minorHAnsi" w:hAnsiTheme="minorHAnsi" w:cstheme="minorHAnsi"/>
        </w:rPr>
        <w:t>front resources to prepare a n</w:t>
      </w:r>
      <w:r w:rsidR="00973725" w:rsidRPr="006450FB">
        <w:rPr>
          <w:rFonts w:asciiTheme="minorHAnsi" w:hAnsiTheme="minorHAnsi" w:cstheme="minorHAnsi"/>
        </w:rPr>
        <w:t>umber of up-front legislative ex</w:t>
      </w:r>
      <w:r w:rsidR="00975715" w:rsidRPr="006450FB">
        <w:rPr>
          <w:rFonts w:asciiTheme="minorHAnsi" w:hAnsiTheme="minorHAnsi" w:cstheme="minorHAnsi"/>
        </w:rPr>
        <w:t>c</w:t>
      </w:r>
      <w:r w:rsidR="00973725" w:rsidRPr="006450FB">
        <w:rPr>
          <w:rFonts w:asciiTheme="minorHAnsi" w:hAnsiTheme="minorHAnsi" w:cstheme="minorHAnsi"/>
        </w:rPr>
        <w:t>eptions</w:t>
      </w:r>
      <w:r w:rsidR="00975715" w:rsidRPr="006450FB">
        <w:rPr>
          <w:rFonts w:asciiTheme="minorHAnsi" w:hAnsiTheme="minorHAnsi" w:cstheme="minorHAnsi"/>
        </w:rPr>
        <w:t xml:space="preserve">, and </w:t>
      </w:r>
      <w:r w:rsidR="00B938B0" w:rsidRPr="006450FB">
        <w:rPr>
          <w:rFonts w:asciiTheme="minorHAnsi" w:hAnsiTheme="minorHAnsi" w:cstheme="minorHAnsi"/>
        </w:rPr>
        <w:t>ongoing</w:t>
      </w:r>
      <w:r w:rsidR="00975715" w:rsidRPr="006450FB">
        <w:rPr>
          <w:rFonts w:asciiTheme="minorHAnsi" w:hAnsiTheme="minorHAnsi" w:cstheme="minorHAnsi"/>
        </w:rPr>
        <w:t xml:space="preserve"> resources to prepare new ones</w:t>
      </w:r>
      <w:r w:rsidR="00F001D4" w:rsidRPr="006450FB">
        <w:rPr>
          <w:rFonts w:asciiTheme="minorHAnsi" w:hAnsiTheme="minorHAnsi" w:cstheme="minorHAnsi"/>
        </w:rPr>
        <w:t xml:space="preserve">. </w:t>
      </w:r>
      <w:r w:rsidR="001C4F4C" w:rsidRPr="006450FB">
        <w:rPr>
          <w:rFonts w:asciiTheme="minorHAnsi" w:hAnsiTheme="minorHAnsi" w:cstheme="minorHAnsi"/>
        </w:rPr>
        <w:t>Failure to identify areas where an exception is required, resulting in actual or threatened legal challenge, might also</w:t>
      </w:r>
      <w:r w:rsidR="00C97418" w:rsidRPr="006450FB">
        <w:rPr>
          <w:rFonts w:asciiTheme="minorHAnsi" w:hAnsiTheme="minorHAnsi" w:cstheme="minorHAnsi"/>
        </w:rPr>
        <w:t xml:space="preserve"> be said to</w:t>
      </w:r>
      <w:r w:rsidR="00EB1340" w:rsidRPr="006450FB">
        <w:rPr>
          <w:rFonts w:asciiTheme="minorHAnsi" w:hAnsiTheme="minorHAnsi" w:cstheme="minorHAnsi"/>
        </w:rPr>
        <w:t xml:space="preserve"> </w:t>
      </w:r>
      <w:r w:rsidR="001C4F4C" w:rsidRPr="006450FB">
        <w:rPr>
          <w:rFonts w:asciiTheme="minorHAnsi" w:hAnsiTheme="minorHAnsi" w:cstheme="minorHAnsi"/>
        </w:rPr>
        <w:t>impair the efficient functioning of government</w:t>
      </w:r>
      <w:r w:rsidR="00C97418" w:rsidRPr="006450FB">
        <w:rPr>
          <w:rFonts w:asciiTheme="minorHAnsi" w:hAnsiTheme="minorHAnsi" w:cstheme="minorHAnsi"/>
        </w:rPr>
        <w:t>, adopting the language of Legislative Design Advisory Committee.</w:t>
      </w:r>
    </w:p>
    <w:p w14:paraId="7F11C38A" w14:textId="432895A7" w:rsidR="00391276" w:rsidRPr="006450FB" w:rsidRDefault="00ED0435" w:rsidP="003B130D">
      <w:pPr>
        <w:pStyle w:val="TextindentedLR"/>
        <w:rPr>
          <w:rFonts w:asciiTheme="minorHAnsi" w:hAnsiTheme="minorHAnsi" w:cstheme="minorHAnsi"/>
        </w:rPr>
      </w:pPr>
      <w:r w:rsidRPr="006450FB">
        <w:rPr>
          <w:rFonts w:asciiTheme="minorHAnsi" w:hAnsiTheme="minorHAnsi" w:cstheme="minorHAnsi"/>
        </w:rPr>
        <w:lastRenderedPageBreak/>
        <w:t xml:space="preserve">An alternative would be to include a limited Crown exception, </w:t>
      </w:r>
      <w:r w:rsidR="00A0392B" w:rsidRPr="006450FB">
        <w:rPr>
          <w:rFonts w:asciiTheme="minorHAnsi" w:hAnsiTheme="minorHAnsi" w:cstheme="minorHAnsi"/>
        </w:rPr>
        <w:t xml:space="preserve">providing the </w:t>
      </w:r>
      <w:r w:rsidR="00317CE7" w:rsidRPr="006450FB">
        <w:rPr>
          <w:rFonts w:asciiTheme="minorHAnsi" w:hAnsiTheme="minorHAnsi" w:cstheme="minorHAnsi"/>
        </w:rPr>
        <w:t xml:space="preserve">Commerce </w:t>
      </w:r>
      <w:r w:rsidR="00A0392B" w:rsidRPr="006450FB">
        <w:rPr>
          <w:rFonts w:asciiTheme="minorHAnsi" w:hAnsiTheme="minorHAnsi" w:cstheme="minorHAnsi"/>
        </w:rPr>
        <w:t xml:space="preserve">Act did not apply to conduct that </w:t>
      </w:r>
      <w:r w:rsidRPr="006450FB">
        <w:rPr>
          <w:rFonts w:asciiTheme="minorHAnsi" w:hAnsiTheme="minorHAnsi" w:cstheme="minorHAnsi"/>
        </w:rPr>
        <w:t xml:space="preserve">was reasonably necessary </w:t>
      </w:r>
      <w:r w:rsidR="00A0392B" w:rsidRPr="006450FB">
        <w:rPr>
          <w:rFonts w:asciiTheme="minorHAnsi" w:hAnsiTheme="minorHAnsi" w:cstheme="minorHAnsi"/>
        </w:rPr>
        <w:t>to</w:t>
      </w:r>
      <w:r w:rsidRPr="006450FB">
        <w:rPr>
          <w:rFonts w:asciiTheme="minorHAnsi" w:hAnsiTheme="minorHAnsi" w:cstheme="minorHAnsi"/>
        </w:rPr>
        <w:t xml:space="preserve"> achieving </w:t>
      </w:r>
      <w:r w:rsidR="00CA1581" w:rsidRPr="006450FB">
        <w:rPr>
          <w:rFonts w:asciiTheme="minorHAnsi" w:hAnsiTheme="minorHAnsi" w:cstheme="minorHAnsi"/>
        </w:rPr>
        <w:t xml:space="preserve">a </w:t>
      </w:r>
      <w:r w:rsidRPr="006450FB">
        <w:rPr>
          <w:rFonts w:asciiTheme="minorHAnsi" w:hAnsiTheme="minorHAnsi" w:cstheme="minorHAnsi"/>
        </w:rPr>
        <w:t xml:space="preserve">public </w:t>
      </w:r>
      <w:r w:rsidR="00CA1581" w:rsidRPr="006450FB">
        <w:rPr>
          <w:rFonts w:asciiTheme="minorHAnsi" w:hAnsiTheme="minorHAnsi" w:cstheme="minorHAnsi"/>
        </w:rPr>
        <w:t>purpose</w:t>
      </w:r>
      <w:r w:rsidRPr="006450FB">
        <w:rPr>
          <w:rFonts w:asciiTheme="minorHAnsi" w:hAnsiTheme="minorHAnsi" w:cstheme="minorHAnsi"/>
        </w:rPr>
        <w:t>.</w:t>
      </w:r>
      <w:r w:rsidR="006F5B55" w:rsidRPr="006450FB">
        <w:rPr>
          <w:rFonts w:asciiTheme="minorHAnsi" w:hAnsiTheme="minorHAnsi" w:cstheme="minorHAnsi"/>
        </w:rPr>
        <w:t xml:space="preserve"> It may be that, </w:t>
      </w:r>
      <w:r w:rsidR="00CA1581" w:rsidRPr="006450FB">
        <w:rPr>
          <w:rFonts w:asciiTheme="minorHAnsi" w:hAnsiTheme="minorHAnsi" w:cstheme="minorHAnsi"/>
        </w:rPr>
        <w:t xml:space="preserve">if appropriately </w:t>
      </w:r>
      <w:r w:rsidR="006F5B55" w:rsidRPr="006450FB">
        <w:rPr>
          <w:rFonts w:asciiTheme="minorHAnsi" w:hAnsiTheme="minorHAnsi" w:cstheme="minorHAnsi"/>
        </w:rPr>
        <w:t>drafted</w:t>
      </w:r>
      <w:r w:rsidR="00CA1581" w:rsidRPr="006450FB">
        <w:rPr>
          <w:rFonts w:asciiTheme="minorHAnsi" w:hAnsiTheme="minorHAnsi" w:cstheme="minorHAnsi"/>
        </w:rPr>
        <w:t>, it need not be</w:t>
      </w:r>
      <w:r w:rsidR="008F6CB5" w:rsidRPr="006450FB">
        <w:rPr>
          <w:rFonts w:asciiTheme="minorHAnsi" w:hAnsiTheme="minorHAnsi" w:cstheme="minorHAnsi"/>
        </w:rPr>
        <w:t xml:space="preserve"> a Crown exception at all, </w:t>
      </w:r>
      <w:r w:rsidR="00D66AE0" w:rsidRPr="006450FB">
        <w:rPr>
          <w:rFonts w:asciiTheme="minorHAnsi" w:hAnsiTheme="minorHAnsi" w:cstheme="minorHAnsi"/>
        </w:rPr>
        <w:t>and could also apply to other non-crown organisations seeking to advance the public i</w:t>
      </w:r>
      <w:r w:rsidR="008A56D3" w:rsidRPr="006450FB">
        <w:rPr>
          <w:rFonts w:asciiTheme="minorHAnsi" w:hAnsiTheme="minorHAnsi" w:cstheme="minorHAnsi"/>
        </w:rPr>
        <w:t>nterest.</w:t>
      </w:r>
    </w:p>
    <w:p w14:paraId="35F9EEF3" w14:textId="04015A3F" w:rsidR="00391276" w:rsidRPr="006450FB" w:rsidRDefault="00AF05A3" w:rsidP="003B130D">
      <w:pPr>
        <w:pStyle w:val="TextindentedLR"/>
        <w:rPr>
          <w:rFonts w:asciiTheme="minorHAnsi" w:hAnsiTheme="minorHAnsi" w:cstheme="minorHAnsi"/>
        </w:rPr>
      </w:pPr>
      <w:r w:rsidRPr="006450FB">
        <w:rPr>
          <w:rFonts w:asciiTheme="minorHAnsi" w:hAnsiTheme="minorHAnsi" w:cstheme="minorHAnsi"/>
        </w:rPr>
        <w:t>It would not be difficult to draft such a provision based on the</w:t>
      </w:r>
      <w:r w:rsidR="005E6A24" w:rsidRPr="006450FB">
        <w:rPr>
          <w:rFonts w:asciiTheme="minorHAnsi" w:hAnsiTheme="minorHAnsi" w:cstheme="minorHAnsi"/>
        </w:rPr>
        <w:t xml:space="preserve"> collaborative activity exception in</w:t>
      </w:r>
      <w:r w:rsidRPr="006450FB">
        <w:rPr>
          <w:rFonts w:asciiTheme="minorHAnsi" w:hAnsiTheme="minorHAnsi" w:cstheme="minorHAnsi"/>
        </w:rPr>
        <w:t>serted into</w:t>
      </w:r>
      <w:r w:rsidR="005E6A24" w:rsidRPr="006450FB">
        <w:rPr>
          <w:rFonts w:asciiTheme="minorHAnsi" w:hAnsiTheme="minorHAnsi" w:cstheme="minorHAnsi"/>
        </w:rPr>
        <w:t xml:space="preserve"> s 31 of the Commerce Act</w:t>
      </w:r>
      <w:r w:rsidRPr="006450FB">
        <w:rPr>
          <w:rFonts w:asciiTheme="minorHAnsi" w:hAnsiTheme="minorHAnsi" w:cstheme="minorHAnsi"/>
        </w:rPr>
        <w:t xml:space="preserve"> by the 2017 amendments to the Commerce Act. This provision</w:t>
      </w:r>
      <w:r w:rsidR="005E6A24" w:rsidRPr="006450FB">
        <w:rPr>
          <w:rFonts w:asciiTheme="minorHAnsi" w:hAnsiTheme="minorHAnsi" w:cstheme="minorHAnsi"/>
        </w:rPr>
        <w:t xml:space="preserve"> provides an exception from the cartel prohibitions for provisions of an agreement that are reasonably necessary for the purposes of the collaborative activity.</w:t>
      </w:r>
    </w:p>
    <w:p w14:paraId="01B0C892" w14:textId="55B1F8B2" w:rsidR="00391276" w:rsidRPr="006450FB" w:rsidRDefault="00EE3A3F" w:rsidP="003B130D">
      <w:pPr>
        <w:pStyle w:val="TextindentedLR"/>
        <w:rPr>
          <w:rFonts w:asciiTheme="minorHAnsi" w:eastAsia="Times New Roman" w:hAnsiTheme="minorHAnsi" w:cstheme="minorHAnsi"/>
          <w:lang w:eastAsia="en-NZ"/>
        </w:rPr>
      </w:pPr>
      <w:r w:rsidRPr="006450FB">
        <w:rPr>
          <w:rFonts w:asciiTheme="minorHAnsi" w:hAnsiTheme="minorHAnsi" w:cstheme="minorHAnsi"/>
        </w:rPr>
        <w:t>In the six years since the introduction of s</w:t>
      </w:r>
      <w:r w:rsidR="00D962A2" w:rsidRPr="006450FB">
        <w:rPr>
          <w:rFonts w:asciiTheme="minorHAnsi" w:hAnsiTheme="minorHAnsi" w:cstheme="minorHAnsi"/>
        </w:rPr>
        <w:t xml:space="preserve"> </w:t>
      </w:r>
      <w:r w:rsidRPr="006450FB">
        <w:rPr>
          <w:rFonts w:asciiTheme="minorHAnsi" w:hAnsiTheme="minorHAnsi" w:cstheme="minorHAnsi"/>
        </w:rPr>
        <w:t>31, the Commission has decided one clearance application</w:t>
      </w:r>
      <w:r w:rsidR="00EB7553" w:rsidRPr="006450FB">
        <w:rPr>
          <w:rFonts w:asciiTheme="minorHAnsi" w:hAnsiTheme="minorHAnsi" w:cstheme="minorHAnsi"/>
        </w:rPr>
        <w:t xml:space="preserve"> under s 65A</w:t>
      </w:r>
      <w:r w:rsidRPr="006450FB">
        <w:rPr>
          <w:rFonts w:asciiTheme="minorHAnsi" w:hAnsiTheme="minorHAnsi" w:cstheme="minorHAnsi"/>
        </w:rPr>
        <w:t>.</w:t>
      </w:r>
      <w:r w:rsidR="00F83CCA" w:rsidRPr="006450FB">
        <w:rPr>
          <w:rStyle w:val="FootnoteReference"/>
          <w:rFonts w:asciiTheme="minorHAnsi" w:hAnsiTheme="minorHAnsi" w:cstheme="minorHAnsi"/>
          <w:sz w:val="24"/>
          <w:szCs w:val="24"/>
        </w:rPr>
        <w:footnoteReference w:id="121"/>
      </w:r>
      <w:r w:rsidR="008D0517" w:rsidRPr="006450FB">
        <w:rPr>
          <w:rFonts w:asciiTheme="minorHAnsi" w:hAnsiTheme="minorHAnsi" w:cstheme="minorHAnsi"/>
        </w:rPr>
        <w:t xml:space="preserve"> </w:t>
      </w:r>
      <w:r w:rsidRPr="006450FB">
        <w:rPr>
          <w:rFonts w:asciiTheme="minorHAnsi" w:hAnsiTheme="minorHAnsi" w:cstheme="minorHAnsi"/>
        </w:rPr>
        <w:t>No case</w:t>
      </w:r>
      <w:r w:rsidR="00F90004" w:rsidRPr="006450FB">
        <w:rPr>
          <w:rFonts w:asciiTheme="minorHAnsi" w:hAnsiTheme="minorHAnsi" w:cstheme="minorHAnsi"/>
        </w:rPr>
        <w:t xml:space="preserve"> </w:t>
      </w:r>
      <w:r w:rsidRPr="006450FB">
        <w:rPr>
          <w:rFonts w:asciiTheme="minorHAnsi" w:hAnsiTheme="minorHAnsi" w:cstheme="minorHAnsi"/>
        </w:rPr>
        <w:t xml:space="preserve">law has been forthcoming. </w:t>
      </w:r>
      <w:r w:rsidR="00EB7553" w:rsidRPr="006450FB">
        <w:rPr>
          <w:rFonts w:asciiTheme="minorHAnsi" w:hAnsiTheme="minorHAnsi" w:cstheme="minorHAnsi"/>
        </w:rPr>
        <w:t>As yet the only guidance on reasonable necessity is to be found in the Commission’s published guidelines.</w:t>
      </w:r>
      <w:r w:rsidR="00EB7553" w:rsidRPr="006450FB">
        <w:rPr>
          <w:rStyle w:val="FootnoteReference"/>
          <w:rFonts w:asciiTheme="minorHAnsi" w:hAnsiTheme="minorHAnsi" w:cstheme="minorHAnsi"/>
          <w:sz w:val="24"/>
          <w:szCs w:val="24"/>
        </w:rPr>
        <w:footnoteReference w:id="122"/>
      </w:r>
      <w:r w:rsidR="00990F9D" w:rsidRPr="006450FB">
        <w:rPr>
          <w:rFonts w:asciiTheme="minorHAnsi" w:hAnsiTheme="minorHAnsi" w:cstheme="minorHAnsi"/>
        </w:rPr>
        <w:t xml:space="preserve"> The Commission has </w:t>
      </w:r>
      <w:r w:rsidR="00A31E89" w:rsidRPr="006450FB">
        <w:rPr>
          <w:rFonts w:asciiTheme="minorHAnsi" w:hAnsiTheme="minorHAnsi" w:cstheme="minorHAnsi"/>
        </w:rPr>
        <w:t>noted</w:t>
      </w:r>
      <w:r w:rsidR="00990F9D" w:rsidRPr="006450FB">
        <w:rPr>
          <w:rFonts w:asciiTheme="minorHAnsi" w:hAnsiTheme="minorHAnsi" w:cstheme="minorHAnsi"/>
        </w:rPr>
        <w:t xml:space="preserve"> that </w:t>
      </w:r>
      <w:r w:rsidR="00A31E89" w:rsidRPr="006450FB">
        <w:rPr>
          <w:rFonts w:asciiTheme="minorHAnsi" w:hAnsiTheme="minorHAnsi" w:cstheme="minorHAnsi"/>
        </w:rPr>
        <w:t xml:space="preserve">reasonable necessity has been found to be </w:t>
      </w:r>
      <w:r w:rsidR="00E87F7D" w:rsidRPr="006450FB">
        <w:rPr>
          <w:rFonts w:asciiTheme="minorHAnsi" w:eastAsia="Times New Roman" w:hAnsiTheme="minorHAnsi" w:cstheme="minorHAnsi"/>
          <w:lang w:eastAsia="en-NZ"/>
        </w:rPr>
        <w:t>“</w:t>
      </w:r>
      <w:r w:rsidR="00A31E89" w:rsidRPr="006450FB">
        <w:rPr>
          <w:rFonts w:asciiTheme="minorHAnsi" w:eastAsia="Times New Roman" w:hAnsiTheme="minorHAnsi" w:cstheme="minorHAnsi"/>
          <w:lang w:eastAsia="en-NZ"/>
        </w:rPr>
        <w:t>a standard used in everyday language and one that should require no undue elaboration</w:t>
      </w:r>
      <w:r w:rsidR="00E87F7D" w:rsidRPr="006450FB">
        <w:rPr>
          <w:rFonts w:asciiTheme="minorHAnsi" w:eastAsia="Times New Roman" w:hAnsiTheme="minorHAnsi" w:cstheme="minorHAnsi"/>
          <w:lang w:eastAsia="en-NZ"/>
        </w:rPr>
        <w:t>”.</w:t>
      </w:r>
      <w:r w:rsidR="00A31E89" w:rsidRPr="006450FB">
        <w:rPr>
          <w:rStyle w:val="FootnoteReference"/>
          <w:rFonts w:asciiTheme="minorHAnsi" w:eastAsia="Times New Roman" w:hAnsiTheme="minorHAnsi" w:cstheme="minorHAnsi"/>
          <w:sz w:val="24"/>
          <w:szCs w:val="24"/>
          <w:lang w:eastAsia="en-NZ"/>
        </w:rPr>
        <w:footnoteReference w:id="123"/>
      </w:r>
      <w:r w:rsidR="00A31E89" w:rsidRPr="006450FB">
        <w:rPr>
          <w:rFonts w:asciiTheme="minorHAnsi" w:eastAsia="Times New Roman" w:hAnsiTheme="minorHAnsi" w:cstheme="minorHAnsi"/>
          <w:lang w:eastAsia="en-NZ"/>
        </w:rPr>
        <w:t xml:space="preserve"> </w:t>
      </w:r>
      <w:r w:rsidR="00B26BD8" w:rsidRPr="006450FB">
        <w:rPr>
          <w:rFonts w:asciiTheme="minorHAnsi" w:hAnsiTheme="minorHAnsi" w:cstheme="minorHAnsi"/>
        </w:rPr>
        <w:t>It is</w:t>
      </w:r>
      <w:r w:rsidR="00A31E89" w:rsidRPr="006450FB">
        <w:rPr>
          <w:rFonts w:asciiTheme="minorHAnsi" w:hAnsiTheme="minorHAnsi" w:cstheme="minorHAnsi"/>
        </w:rPr>
        <w:t xml:space="preserve"> said to be</w:t>
      </w:r>
      <w:r w:rsidR="00B26BD8" w:rsidRPr="006450FB">
        <w:rPr>
          <w:rFonts w:asciiTheme="minorHAnsi" w:hAnsiTheme="minorHAnsi" w:cstheme="minorHAnsi"/>
        </w:rPr>
        <w:t xml:space="preserve"> a high standard, but need not be essential, but more than merely desirable, expedient, or preferable. It requires consideration of the alternative available options </w:t>
      </w:r>
      <w:r w:rsidR="00E87F7D" w:rsidRPr="006450FB">
        <w:rPr>
          <w:rFonts w:asciiTheme="minorHAnsi" w:hAnsiTheme="minorHAnsi" w:cstheme="minorHAnsi"/>
        </w:rPr>
        <w:t xml:space="preserve">— </w:t>
      </w:r>
      <w:r w:rsidR="00B26BD8" w:rsidRPr="006450FB">
        <w:rPr>
          <w:rFonts w:asciiTheme="minorHAnsi" w:hAnsiTheme="minorHAnsi" w:cstheme="minorHAnsi"/>
        </w:rPr>
        <w:t xml:space="preserve">options that are practically workable and do not limit </w:t>
      </w:r>
      <w:r w:rsidR="00110213" w:rsidRPr="006450FB">
        <w:rPr>
          <w:rFonts w:asciiTheme="minorHAnsi" w:hAnsiTheme="minorHAnsi" w:cstheme="minorHAnsi"/>
        </w:rPr>
        <w:t>competition or</w:t>
      </w:r>
      <w:r w:rsidR="00B26BD8" w:rsidRPr="006450FB">
        <w:rPr>
          <w:rFonts w:asciiTheme="minorHAnsi" w:hAnsiTheme="minorHAnsi" w:cstheme="minorHAnsi"/>
        </w:rPr>
        <w:t xml:space="preserve"> are significantly less restrictive.</w:t>
      </w:r>
    </w:p>
    <w:p w14:paraId="7665BD05" w14:textId="1A8B1B51" w:rsidR="00391276" w:rsidRPr="006450FB" w:rsidRDefault="004B64E0" w:rsidP="003B130D">
      <w:pPr>
        <w:pStyle w:val="TextindentedLR"/>
        <w:rPr>
          <w:rFonts w:asciiTheme="minorHAnsi" w:hAnsiTheme="minorHAnsi" w:cstheme="minorHAnsi"/>
        </w:rPr>
      </w:pPr>
      <w:r w:rsidRPr="006450FB">
        <w:rPr>
          <w:rFonts w:asciiTheme="minorHAnsi" w:hAnsiTheme="minorHAnsi" w:cstheme="minorHAnsi"/>
        </w:rPr>
        <w:t>This test, in substance, appears well aligned with the OECD approach</w:t>
      </w:r>
      <w:r w:rsidR="00F56B03" w:rsidRPr="006450FB">
        <w:rPr>
          <w:rFonts w:asciiTheme="minorHAnsi" w:hAnsiTheme="minorHAnsi" w:cstheme="minorHAnsi"/>
        </w:rPr>
        <w:t>, and could be expected over time to reduce the impact of government on competition</w:t>
      </w:r>
      <w:r w:rsidRPr="006450FB">
        <w:rPr>
          <w:rFonts w:asciiTheme="minorHAnsi" w:hAnsiTheme="minorHAnsi" w:cstheme="minorHAnsi"/>
        </w:rPr>
        <w:t>.</w:t>
      </w:r>
      <w:r w:rsidR="00DB3AF0" w:rsidRPr="006450FB">
        <w:rPr>
          <w:rFonts w:asciiTheme="minorHAnsi" w:hAnsiTheme="minorHAnsi" w:cstheme="minorHAnsi"/>
        </w:rPr>
        <w:t xml:space="preserve"> C</w:t>
      </w:r>
      <w:r w:rsidR="00B26BD8" w:rsidRPr="006450FB">
        <w:rPr>
          <w:rFonts w:asciiTheme="minorHAnsi" w:hAnsiTheme="minorHAnsi" w:cstheme="minorHAnsi"/>
        </w:rPr>
        <w:t>ompetition law</w:t>
      </w:r>
      <w:r w:rsidR="00DB3AF0" w:rsidRPr="006450FB">
        <w:rPr>
          <w:rFonts w:asciiTheme="minorHAnsi" w:hAnsiTheme="minorHAnsi" w:cstheme="minorHAnsi"/>
        </w:rPr>
        <w:t xml:space="preserve">yers and their clients would also </w:t>
      </w:r>
      <w:r w:rsidR="00B26BD8" w:rsidRPr="006450FB">
        <w:rPr>
          <w:rFonts w:asciiTheme="minorHAnsi" w:hAnsiTheme="minorHAnsi" w:cstheme="minorHAnsi"/>
        </w:rPr>
        <w:t xml:space="preserve">no doubt welcome </w:t>
      </w:r>
      <w:r w:rsidR="005C2E01" w:rsidRPr="006450FB">
        <w:rPr>
          <w:rFonts w:asciiTheme="minorHAnsi" w:hAnsiTheme="minorHAnsi" w:cstheme="minorHAnsi"/>
        </w:rPr>
        <w:t xml:space="preserve">the </w:t>
      </w:r>
      <w:r w:rsidR="00B26BD8" w:rsidRPr="006450FB">
        <w:rPr>
          <w:rFonts w:asciiTheme="minorHAnsi" w:hAnsiTheme="minorHAnsi" w:cstheme="minorHAnsi"/>
        </w:rPr>
        <w:t xml:space="preserve">additional guidance on </w:t>
      </w:r>
      <w:r w:rsidR="00DB3AF0" w:rsidRPr="006450FB">
        <w:rPr>
          <w:rFonts w:asciiTheme="minorHAnsi" w:hAnsiTheme="minorHAnsi" w:cstheme="minorHAnsi"/>
        </w:rPr>
        <w:t xml:space="preserve">what </w:t>
      </w:r>
      <w:r w:rsidR="00E87F7D" w:rsidRPr="006450FB">
        <w:rPr>
          <w:rFonts w:asciiTheme="minorHAnsi" w:hAnsiTheme="minorHAnsi" w:cstheme="minorHAnsi"/>
        </w:rPr>
        <w:t>“</w:t>
      </w:r>
      <w:r w:rsidR="00B26BD8" w:rsidRPr="006450FB">
        <w:rPr>
          <w:rFonts w:asciiTheme="minorHAnsi" w:hAnsiTheme="minorHAnsi" w:cstheme="minorHAnsi"/>
        </w:rPr>
        <w:t xml:space="preserve">reasonable </w:t>
      </w:r>
      <w:r w:rsidR="00D23BF6" w:rsidRPr="006450FB">
        <w:rPr>
          <w:rFonts w:asciiTheme="minorHAnsi" w:hAnsiTheme="minorHAnsi" w:cstheme="minorHAnsi"/>
        </w:rPr>
        <w:t>necessity</w:t>
      </w:r>
      <w:r w:rsidR="00E87F7D" w:rsidRPr="006450FB">
        <w:rPr>
          <w:rFonts w:asciiTheme="minorHAnsi" w:hAnsiTheme="minorHAnsi" w:cstheme="minorHAnsi"/>
        </w:rPr>
        <w:t>”</w:t>
      </w:r>
      <w:r w:rsidR="00DB3AF0" w:rsidRPr="006450FB">
        <w:rPr>
          <w:rFonts w:asciiTheme="minorHAnsi" w:hAnsiTheme="minorHAnsi" w:cstheme="minorHAnsi"/>
        </w:rPr>
        <w:t xml:space="preserve"> means</w:t>
      </w:r>
      <w:r w:rsidR="003C443D" w:rsidRPr="006450FB">
        <w:rPr>
          <w:rFonts w:asciiTheme="minorHAnsi" w:hAnsiTheme="minorHAnsi" w:cstheme="minorHAnsi"/>
        </w:rPr>
        <w:t xml:space="preserve"> that such a provision would likely generate</w:t>
      </w:r>
      <w:r w:rsidR="00D23BF6" w:rsidRPr="006450FB">
        <w:rPr>
          <w:rFonts w:asciiTheme="minorHAnsi" w:hAnsiTheme="minorHAnsi" w:cstheme="minorHAnsi"/>
        </w:rPr>
        <w:t xml:space="preserve">. </w:t>
      </w:r>
      <w:r w:rsidR="002B7A75" w:rsidRPr="006450FB">
        <w:rPr>
          <w:rFonts w:asciiTheme="minorHAnsi" w:hAnsiTheme="minorHAnsi" w:cstheme="minorHAnsi"/>
        </w:rPr>
        <w:t>It might be observed that</w:t>
      </w:r>
      <w:r w:rsidR="003F7E4E" w:rsidRPr="006450FB">
        <w:rPr>
          <w:rFonts w:asciiTheme="minorHAnsi" w:hAnsiTheme="minorHAnsi" w:cstheme="minorHAnsi"/>
        </w:rPr>
        <w:t xml:space="preserve"> any difficulties for the Crown would be no more than the difficulties </w:t>
      </w:r>
      <w:r w:rsidR="001743BC" w:rsidRPr="006450FB">
        <w:rPr>
          <w:rFonts w:asciiTheme="minorHAnsi" w:hAnsiTheme="minorHAnsi" w:cstheme="minorHAnsi"/>
        </w:rPr>
        <w:t>it had already placed on others, harking back to t</w:t>
      </w:r>
      <w:r w:rsidR="003F7E4E" w:rsidRPr="006450FB">
        <w:rPr>
          <w:rFonts w:asciiTheme="minorHAnsi" w:hAnsiTheme="minorHAnsi" w:cstheme="minorHAnsi"/>
        </w:rPr>
        <w:t>he</w:t>
      </w:r>
      <w:r w:rsidR="001743BC" w:rsidRPr="006450FB">
        <w:rPr>
          <w:rFonts w:asciiTheme="minorHAnsi" w:hAnsiTheme="minorHAnsi" w:cstheme="minorHAnsi"/>
        </w:rPr>
        <w:t xml:space="preserve"> approach of</w:t>
      </w:r>
      <w:r w:rsidR="003F7E4E" w:rsidRPr="006450FB">
        <w:rPr>
          <w:rFonts w:asciiTheme="minorHAnsi" w:hAnsiTheme="minorHAnsi" w:cstheme="minorHAnsi"/>
        </w:rPr>
        <w:t xml:space="preserve"> Swanson Report</w:t>
      </w:r>
      <w:r w:rsidR="001743BC" w:rsidRPr="006450FB">
        <w:rPr>
          <w:rFonts w:asciiTheme="minorHAnsi" w:hAnsiTheme="minorHAnsi" w:cstheme="minorHAnsi"/>
        </w:rPr>
        <w:t>.</w:t>
      </w:r>
    </w:p>
    <w:p w14:paraId="3C253B1B" w14:textId="637F1896" w:rsidR="00391276" w:rsidRPr="006450FB" w:rsidRDefault="00D23BF6" w:rsidP="003B130D">
      <w:pPr>
        <w:pStyle w:val="TextindentedLR"/>
        <w:rPr>
          <w:rFonts w:asciiTheme="minorHAnsi" w:hAnsiTheme="minorHAnsi" w:cstheme="minorHAnsi"/>
        </w:rPr>
      </w:pPr>
      <w:r w:rsidRPr="006450FB">
        <w:rPr>
          <w:rFonts w:asciiTheme="minorHAnsi" w:hAnsiTheme="minorHAnsi" w:cstheme="minorHAnsi"/>
        </w:rPr>
        <w:t xml:space="preserve">But </w:t>
      </w:r>
      <w:r w:rsidR="00B26BD8" w:rsidRPr="006450FB">
        <w:rPr>
          <w:rFonts w:asciiTheme="minorHAnsi" w:hAnsiTheme="minorHAnsi" w:cstheme="minorHAnsi"/>
        </w:rPr>
        <w:t xml:space="preserve">there is perhaps a more </w:t>
      </w:r>
      <w:r w:rsidR="007E7713" w:rsidRPr="006450FB">
        <w:rPr>
          <w:rFonts w:asciiTheme="minorHAnsi" w:hAnsiTheme="minorHAnsi" w:cstheme="minorHAnsi"/>
        </w:rPr>
        <w:t>fundamental</w:t>
      </w:r>
      <w:r w:rsidR="00B26BD8" w:rsidRPr="006450FB">
        <w:rPr>
          <w:rFonts w:asciiTheme="minorHAnsi" w:hAnsiTheme="minorHAnsi" w:cstheme="minorHAnsi"/>
        </w:rPr>
        <w:t> benefit to such a provision.</w:t>
      </w:r>
      <w:r w:rsidR="008D0517" w:rsidRPr="006450FB">
        <w:rPr>
          <w:rFonts w:asciiTheme="minorHAnsi" w:hAnsiTheme="minorHAnsi" w:cstheme="minorHAnsi"/>
        </w:rPr>
        <w:t xml:space="preserve"> </w:t>
      </w:r>
      <w:r w:rsidR="00B26BD8" w:rsidRPr="006450FB">
        <w:rPr>
          <w:rFonts w:asciiTheme="minorHAnsi" w:hAnsiTheme="minorHAnsi" w:cstheme="minorHAnsi"/>
        </w:rPr>
        <w:t xml:space="preserve">An exception framed in terms of reasonable necessity would require Government to justify, through the courts if required, </w:t>
      </w:r>
      <w:r w:rsidR="00033964" w:rsidRPr="006450FB">
        <w:rPr>
          <w:rFonts w:asciiTheme="minorHAnsi" w:hAnsiTheme="minorHAnsi" w:cstheme="minorHAnsi"/>
        </w:rPr>
        <w:t xml:space="preserve">the limitations on competition imposed by </w:t>
      </w:r>
      <w:r w:rsidR="00B26BD8" w:rsidRPr="006450FB">
        <w:rPr>
          <w:rFonts w:asciiTheme="minorHAnsi" w:hAnsiTheme="minorHAnsi" w:cstheme="minorHAnsi"/>
        </w:rPr>
        <w:t>its policy decisions. As Butler has stated, in the context of the Bill of Rights</w:t>
      </w:r>
      <w:r w:rsidR="003D10F4" w:rsidRPr="006450FB">
        <w:rPr>
          <w:rFonts w:asciiTheme="minorHAnsi" w:hAnsiTheme="minorHAnsi" w:cstheme="minorHAnsi"/>
        </w:rPr>
        <w:t>:</w:t>
      </w:r>
      <w:r w:rsidR="00B26BD8" w:rsidRPr="006450FB">
        <w:rPr>
          <w:rFonts w:asciiTheme="minorHAnsi" w:hAnsiTheme="minorHAnsi" w:cstheme="minorHAnsi"/>
        </w:rPr>
        <w:t xml:space="preserve"> </w:t>
      </w:r>
      <w:r w:rsidR="005E4C08" w:rsidRPr="006450FB">
        <w:rPr>
          <w:rFonts w:asciiTheme="minorHAnsi" w:hAnsiTheme="minorHAnsi" w:cstheme="minorHAnsi"/>
        </w:rPr>
        <w:t>“</w:t>
      </w:r>
      <w:r w:rsidR="00B26BD8" w:rsidRPr="006450FB">
        <w:rPr>
          <w:rFonts w:asciiTheme="minorHAnsi" w:hAnsiTheme="minorHAnsi" w:cstheme="minorHAnsi"/>
        </w:rPr>
        <w:t xml:space="preserve">The culture of justification contributes to principles of good government, such as transparency, accountability, rational public policy development, </w:t>
      </w:r>
      <w:r w:rsidR="005E4C08" w:rsidRPr="006450FB">
        <w:rPr>
          <w:rFonts w:asciiTheme="minorHAnsi" w:hAnsiTheme="minorHAnsi" w:cstheme="minorHAnsi"/>
        </w:rPr>
        <w:t xml:space="preserve">[and] </w:t>
      </w:r>
      <w:r w:rsidR="00B26BD8" w:rsidRPr="006450FB">
        <w:rPr>
          <w:rFonts w:asciiTheme="minorHAnsi" w:hAnsiTheme="minorHAnsi" w:cstheme="minorHAnsi"/>
        </w:rPr>
        <w:t>attention to differing interests</w:t>
      </w:r>
      <w:r w:rsidR="005E4C08" w:rsidRPr="006450FB">
        <w:rPr>
          <w:rFonts w:asciiTheme="minorHAnsi" w:hAnsiTheme="minorHAnsi" w:cstheme="minorHAnsi"/>
        </w:rPr>
        <w:t>”</w:t>
      </w:r>
      <w:r w:rsidR="007E7713" w:rsidRPr="006450FB">
        <w:rPr>
          <w:rFonts w:asciiTheme="minorHAnsi" w:hAnsiTheme="minorHAnsi" w:cstheme="minorHAnsi"/>
        </w:rPr>
        <w:t>.</w:t>
      </w:r>
      <w:r w:rsidR="007E7713" w:rsidRPr="006450FB">
        <w:rPr>
          <w:rStyle w:val="FootnoteReference"/>
          <w:rFonts w:asciiTheme="minorHAnsi" w:hAnsiTheme="minorHAnsi" w:cstheme="minorHAnsi"/>
          <w:sz w:val="24"/>
          <w:szCs w:val="24"/>
        </w:rPr>
        <w:footnoteReference w:id="124"/>
      </w:r>
    </w:p>
    <w:p w14:paraId="687EAF06" w14:textId="1DDF133A" w:rsidR="00391276" w:rsidRPr="006450FB" w:rsidRDefault="008E36D1" w:rsidP="003B130D">
      <w:pPr>
        <w:pStyle w:val="TextindentedLR"/>
        <w:rPr>
          <w:rFonts w:asciiTheme="minorHAnsi" w:hAnsiTheme="minorHAnsi" w:cstheme="minorHAnsi"/>
        </w:rPr>
      </w:pPr>
      <w:r w:rsidRPr="006450FB">
        <w:rPr>
          <w:rFonts w:asciiTheme="minorHAnsi" w:hAnsiTheme="minorHAnsi" w:cstheme="minorHAnsi"/>
        </w:rPr>
        <w:t xml:space="preserve">The Commerce Act was </w:t>
      </w:r>
      <w:r w:rsidR="00426A83" w:rsidRPr="006450FB">
        <w:rPr>
          <w:rFonts w:asciiTheme="minorHAnsi" w:hAnsiTheme="minorHAnsi" w:cstheme="minorHAnsi"/>
        </w:rPr>
        <w:t xml:space="preserve">enacted as part of a series of economy wide reforms </w:t>
      </w:r>
      <w:r w:rsidR="00FE00F7" w:rsidRPr="006450FB">
        <w:rPr>
          <w:rFonts w:asciiTheme="minorHAnsi" w:hAnsiTheme="minorHAnsi" w:cstheme="minorHAnsi"/>
        </w:rPr>
        <w:t>that</w:t>
      </w:r>
      <w:r w:rsidR="00426A83" w:rsidRPr="006450FB">
        <w:rPr>
          <w:rFonts w:asciiTheme="minorHAnsi" w:hAnsiTheme="minorHAnsi" w:cstheme="minorHAnsi"/>
        </w:rPr>
        <w:t xml:space="preserve"> sought to place reliance on the operation of market forces</w:t>
      </w:r>
      <w:r w:rsidR="004A0F27" w:rsidRPr="006450FB">
        <w:rPr>
          <w:rFonts w:asciiTheme="minorHAnsi" w:hAnsiTheme="minorHAnsi" w:cstheme="minorHAnsi"/>
        </w:rPr>
        <w:t xml:space="preserve">, turning over </w:t>
      </w:r>
      <w:r w:rsidR="00D12E93" w:rsidRPr="006450FB">
        <w:rPr>
          <w:rFonts w:asciiTheme="minorHAnsi" w:hAnsiTheme="minorHAnsi" w:cstheme="minorHAnsi"/>
        </w:rPr>
        <w:t>to the private sector activity that was previously undertaken by the state</w:t>
      </w:r>
      <w:r w:rsidR="00426A83" w:rsidRPr="006450FB">
        <w:rPr>
          <w:rFonts w:asciiTheme="minorHAnsi" w:hAnsiTheme="minorHAnsi" w:cstheme="minorHAnsi"/>
        </w:rPr>
        <w:t>.</w:t>
      </w:r>
      <w:r w:rsidR="00426A83" w:rsidRPr="006450FB">
        <w:rPr>
          <w:rStyle w:val="FootnoteReference"/>
          <w:rFonts w:asciiTheme="minorHAnsi" w:hAnsiTheme="minorHAnsi" w:cstheme="minorHAnsi"/>
          <w:sz w:val="24"/>
          <w:szCs w:val="24"/>
        </w:rPr>
        <w:footnoteReference w:id="125"/>
      </w:r>
      <w:r w:rsidR="00426A83" w:rsidRPr="006450FB">
        <w:rPr>
          <w:rFonts w:asciiTheme="minorHAnsi" w:hAnsiTheme="minorHAnsi" w:cstheme="minorHAnsi"/>
        </w:rPr>
        <w:t xml:space="preserve"> </w:t>
      </w:r>
      <w:r w:rsidR="008631CD" w:rsidRPr="006450FB">
        <w:rPr>
          <w:rFonts w:asciiTheme="minorHAnsi" w:hAnsiTheme="minorHAnsi" w:cstheme="minorHAnsi"/>
        </w:rPr>
        <w:t>Much of that change remains intact</w:t>
      </w:r>
      <w:r w:rsidR="000C78F5" w:rsidRPr="006450FB">
        <w:rPr>
          <w:rFonts w:asciiTheme="minorHAnsi" w:hAnsiTheme="minorHAnsi" w:cstheme="minorHAnsi"/>
        </w:rPr>
        <w:t xml:space="preserve"> nearly forty years later</w:t>
      </w:r>
      <w:r w:rsidR="008631CD" w:rsidRPr="006450FB">
        <w:rPr>
          <w:rFonts w:asciiTheme="minorHAnsi" w:hAnsiTheme="minorHAnsi" w:cstheme="minorHAnsi"/>
        </w:rPr>
        <w:t xml:space="preserve">. </w:t>
      </w:r>
      <w:r w:rsidR="00740276" w:rsidRPr="006450FB">
        <w:rPr>
          <w:rFonts w:asciiTheme="minorHAnsi" w:hAnsiTheme="minorHAnsi" w:cstheme="minorHAnsi"/>
        </w:rPr>
        <w:t>Given</w:t>
      </w:r>
      <w:r w:rsidR="008631CD" w:rsidRPr="006450FB">
        <w:rPr>
          <w:rFonts w:asciiTheme="minorHAnsi" w:hAnsiTheme="minorHAnsi" w:cstheme="minorHAnsi"/>
        </w:rPr>
        <w:t xml:space="preserve"> that</w:t>
      </w:r>
      <w:r w:rsidR="00815216" w:rsidRPr="006450FB">
        <w:rPr>
          <w:rFonts w:asciiTheme="minorHAnsi" w:hAnsiTheme="minorHAnsi" w:cstheme="minorHAnsi"/>
        </w:rPr>
        <w:t xml:space="preserve"> reliance</w:t>
      </w:r>
      <w:r w:rsidR="008631CD" w:rsidRPr="006450FB">
        <w:rPr>
          <w:rFonts w:asciiTheme="minorHAnsi" w:hAnsiTheme="minorHAnsi" w:cstheme="minorHAnsi"/>
        </w:rPr>
        <w:t>, and</w:t>
      </w:r>
      <w:r w:rsidR="00740276" w:rsidRPr="006450FB">
        <w:rPr>
          <w:rFonts w:asciiTheme="minorHAnsi" w:hAnsiTheme="minorHAnsi" w:cstheme="minorHAnsi"/>
        </w:rPr>
        <w:t xml:space="preserve"> the benefits to New Zealand consumers that </w:t>
      </w:r>
      <w:r w:rsidR="00815216" w:rsidRPr="006450FB">
        <w:rPr>
          <w:rFonts w:asciiTheme="minorHAnsi" w:hAnsiTheme="minorHAnsi" w:cstheme="minorHAnsi"/>
        </w:rPr>
        <w:t>are contingent on</w:t>
      </w:r>
      <w:r w:rsidR="00740276" w:rsidRPr="006450FB">
        <w:rPr>
          <w:rFonts w:asciiTheme="minorHAnsi" w:hAnsiTheme="minorHAnsi" w:cstheme="minorHAnsi"/>
        </w:rPr>
        <w:t xml:space="preserve"> competition, significant and enduring </w:t>
      </w:r>
      <w:r w:rsidR="00740276" w:rsidRPr="006450FB">
        <w:rPr>
          <w:rFonts w:asciiTheme="minorHAnsi" w:hAnsiTheme="minorHAnsi" w:cstheme="minorHAnsi"/>
          <w:szCs w:val="32"/>
        </w:rPr>
        <w:t xml:space="preserve">limits on competition </w:t>
      </w:r>
      <w:r w:rsidR="008C6908" w:rsidRPr="006450FB">
        <w:rPr>
          <w:rFonts w:asciiTheme="minorHAnsi" w:hAnsiTheme="minorHAnsi" w:cstheme="minorHAnsi"/>
          <w:szCs w:val="32"/>
        </w:rPr>
        <w:t>are</w:t>
      </w:r>
      <w:r w:rsidR="00740276" w:rsidRPr="006450FB">
        <w:rPr>
          <w:rFonts w:asciiTheme="minorHAnsi" w:hAnsiTheme="minorHAnsi" w:cstheme="minorHAnsi"/>
          <w:szCs w:val="32"/>
        </w:rPr>
        <w:t xml:space="preserve"> most appropriately dealt with by parliamentary authorisation.</w:t>
      </w:r>
      <w:r w:rsidR="001112A6" w:rsidRPr="006450FB">
        <w:rPr>
          <w:rFonts w:asciiTheme="minorHAnsi" w:hAnsiTheme="minorHAnsi" w:cstheme="minorHAnsi"/>
          <w:szCs w:val="32"/>
        </w:rPr>
        <w:t xml:space="preserve"> </w:t>
      </w:r>
      <w:r w:rsidR="00B26BD8" w:rsidRPr="006450FB">
        <w:rPr>
          <w:rFonts w:asciiTheme="minorHAnsi" w:hAnsiTheme="minorHAnsi" w:cstheme="minorHAnsi"/>
        </w:rPr>
        <w:t xml:space="preserve">An exception </w:t>
      </w:r>
      <w:r w:rsidR="0050096F" w:rsidRPr="006450FB">
        <w:rPr>
          <w:rFonts w:asciiTheme="minorHAnsi" w:hAnsiTheme="minorHAnsi" w:cstheme="minorHAnsi"/>
        </w:rPr>
        <w:t>based on reasonable necessity</w:t>
      </w:r>
      <w:r w:rsidR="00367EEF" w:rsidRPr="006450FB">
        <w:rPr>
          <w:rFonts w:asciiTheme="minorHAnsi" w:hAnsiTheme="minorHAnsi" w:cstheme="minorHAnsi"/>
        </w:rPr>
        <w:t xml:space="preserve"> </w:t>
      </w:r>
      <w:r w:rsidR="00B26BD8" w:rsidRPr="006450FB">
        <w:rPr>
          <w:rFonts w:asciiTheme="minorHAnsi" w:hAnsiTheme="minorHAnsi" w:cstheme="minorHAnsi"/>
        </w:rPr>
        <w:t>might</w:t>
      </w:r>
      <w:r w:rsidR="00367EEF" w:rsidRPr="006450FB">
        <w:rPr>
          <w:rFonts w:asciiTheme="minorHAnsi" w:hAnsiTheme="minorHAnsi" w:cstheme="minorHAnsi"/>
        </w:rPr>
        <w:t xml:space="preserve"> nevertheless</w:t>
      </w:r>
      <w:r w:rsidR="00B26BD8" w:rsidRPr="006450FB">
        <w:rPr>
          <w:rFonts w:asciiTheme="minorHAnsi" w:hAnsiTheme="minorHAnsi" w:cstheme="minorHAnsi"/>
        </w:rPr>
        <w:t xml:space="preserve"> reduce the reliance on ad</w:t>
      </w:r>
      <w:r w:rsidR="003D10F4" w:rsidRPr="006450FB">
        <w:rPr>
          <w:rFonts w:asciiTheme="minorHAnsi" w:hAnsiTheme="minorHAnsi" w:cstheme="minorHAnsi"/>
        </w:rPr>
        <w:t xml:space="preserve"> </w:t>
      </w:r>
      <w:r w:rsidR="00B26BD8" w:rsidRPr="006450FB">
        <w:rPr>
          <w:rFonts w:asciiTheme="minorHAnsi" w:hAnsiTheme="minorHAnsi" w:cstheme="minorHAnsi"/>
        </w:rPr>
        <w:t xml:space="preserve">hoc </w:t>
      </w:r>
      <w:r w:rsidR="00FD2C87" w:rsidRPr="006450FB">
        <w:rPr>
          <w:rFonts w:asciiTheme="minorHAnsi" w:hAnsiTheme="minorHAnsi" w:cstheme="minorHAnsi"/>
        </w:rPr>
        <w:t xml:space="preserve">parliamentary </w:t>
      </w:r>
      <w:r w:rsidR="00B26BD8" w:rsidRPr="006450FB">
        <w:rPr>
          <w:rFonts w:asciiTheme="minorHAnsi" w:hAnsiTheme="minorHAnsi" w:cstheme="minorHAnsi"/>
        </w:rPr>
        <w:t xml:space="preserve">exemptions, enabling the development of a more coherent approach to what conduct </w:t>
      </w:r>
      <w:r w:rsidR="00D76FBC" w:rsidRPr="006450FB">
        <w:rPr>
          <w:rFonts w:asciiTheme="minorHAnsi" w:hAnsiTheme="minorHAnsi" w:cstheme="minorHAnsi"/>
        </w:rPr>
        <w:t xml:space="preserve">or </w:t>
      </w:r>
      <w:r w:rsidR="00DA7D7C" w:rsidRPr="006450FB">
        <w:rPr>
          <w:rFonts w:asciiTheme="minorHAnsi" w:hAnsiTheme="minorHAnsi" w:cstheme="minorHAnsi"/>
        </w:rPr>
        <w:t xml:space="preserve">body </w:t>
      </w:r>
      <w:r w:rsidR="00B26BD8" w:rsidRPr="006450FB">
        <w:rPr>
          <w:rFonts w:asciiTheme="minorHAnsi" w:hAnsiTheme="minorHAnsi" w:cstheme="minorHAnsi"/>
        </w:rPr>
        <w:t>is exempted, and of a standardised and predictable approach to their interpretation.</w:t>
      </w:r>
    </w:p>
    <w:p w14:paraId="659BC777" w14:textId="02A6B3EB" w:rsidR="00391276" w:rsidRPr="006450FB" w:rsidRDefault="000534D1" w:rsidP="003B130D">
      <w:pPr>
        <w:pStyle w:val="TextindentedLR"/>
        <w:rPr>
          <w:rFonts w:asciiTheme="minorHAnsi" w:hAnsiTheme="minorHAnsi" w:cstheme="minorHAnsi"/>
        </w:rPr>
      </w:pPr>
      <w:r w:rsidRPr="006450FB">
        <w:rPr>
          <w:rFonts w:asciiTheme="minorHAnsi" w:hAnsiTheme="minorHAnsi" w:cstheme="minorHAnsi"/>
        </w:rPr>
        <w:t xml:space="preserve">It </w:t>
      </w:r>
      <w:r w:rsidR="00D22078" w:rsidRPr="006450FB">
        <w:rPr>
          <w:rFonts w:asciiTheme="minorHAnsi" w:hAnsiTheme="minorHAnsi" w:cstheme="minorHAnsi"/>
        </w:rPr>
        <w:t>is likely that a narrow</w:t>
      </w:r>
      <w:r w:rsidR="000A559D" w:rsidRPr="006450FB">
        <w:rPr>
          <w:rFonts w:asciiTheme="minorHAnsi" w:hAnsiTheme="minorHAnsi" w:cstheme="minorHAnsi"/>
        </w:rPr>
        <w:t xml:space="preserve">er Crown </w:t>
      </w:r>
      <w:r w:rsidR="00A3230F" w:rsidRPr="006450FB">
        <w:rPr>
          <w:rFonts w:asciiTheme="minorHAnsi" w:hAnsiTheme="minorHAnsi" w:cstheme="minorHAnsi"/>
        </w:rPr>
        <w:t xml:space="preserve">immunity </w:t>
      </w:r>
      <w:r w:rsidR="004E63F8" w:rsidRPr="006450FB">
        <w:rPr>
          <w:rFonts w:asciiTheme="minorHAnsi" w:hAnsiTheme="minorHAnsi" w:cstheme="minorHAnsi"/>
        </w:rPr>
        <w:t>would</w:t>
      </w:r>
      <w:r w:rsidR="00D22078" w:rsidRPr="006450FB">
        <w:rPr>
          <w:rFonts w:asciiTheme="minorHAnsi" w:hAnsiTheme="minorHAnsi" w:cstheme="minorHAnsi"/>
        </w:rPr>
        <w:t xml:space="preserve"> result in </w:t>
      </w:r>
      <w:r w:rsidR="000A559D" w:rsidRPr="006450FB">
        <w:rPr>
          <w:rFonts w:asciiTheme="minorHAnsi" w:hAnsiTheme="minorHAnsi" w:cstheme="minorHAnsi"/>
        </w:rPr>
        <w:t xml:space="preserve">some </w:t>
      </w:r>
      <w:r w:rsidR="006504D5" w:rsidRPr="006450FB">
        <w:rPr>
          <w:rFonts w:asciiTheme="minorHAnsi" w:hAnsiTheme="minorHAnsi" w:cstheme="minorHAnsi"/>
        </w:rPr>
        <w:t>discomfort for government. But as L</w:t>
      </w:r>
      <w:r w:rsidR="00441531" w:rsidRPr="006450FB">
        <w:rPr>
          <w:rFonts w:asciiTheme="minorHAnsi" w:hAnsiTheme="minorHAnsi" w:cstheme="minorHAnsi"/>
        </w:rPr>
        <w:t xml:space="preserve">egislative </w:t>
      </w:r>
      <w:r w:rsidR="006504D5" w:rsidRPr="006450FB">
        <w:rPr>
          <w:rFonts w:asciiTheme="minorHAnsi" w:hAnsiTheme="minorHAnsi" w:cstheme="minorHAnsi"/>
        </w:rPr>
        <w:t>D</w:t>
      </w:r>
      <w:r w:rsidR="00441531" w:rsidRPr="006450FB">
        <w:rPr>
          <w:rFonts w:asciiTheme="minorHAnsi" w:hAnsiTheme="minorHAnsi" w:cstheme="minorHAnsi"/>
        </w:rPr>
        <w:t xml:space="preserve">esign </w:t>
      </w:r>
      <w:r w:rsidR="006504D5" w:rsidRPr="006450FB">
        <w:rPr>
          <w:rFonts w:asciiTheme="minorHAnsi" w:hAnsiTheme="minorHAnsi" w:cstheme="minorHAnsi"/>
        </w:rPr>
        <w:t>A</w:t>
      </w:r>
      <w:r w:rsidR="00441531" w:rsidRPr="006450FB">
        <w:rPr>
          <w:rFonts w:asciiTheme="minorHAnsi" w:hAnsiTheme="minorHAnsi" w:cstheme="minorHAnsi"/>
        </w:rPr>
        <w:t xml:space="preserve">dvisory </w:t>
      </w:r>
      <w:r w:rsidR="006504D5" w:rsidRPr="006450FB">
        <w:rPr>
          <w:rFonts w:asciiTheme="minorHAnsi" w:hAnsiTheme="minorHAnsi" w:cstheme="minorHAnsi"/>
        </w:rPr>
        <w:t>C</w:t>
      </w:r>
      <w:r w:rsidR="00441531" w:rsidRPr="006450FB">
        <w:rPr>
          <w:rFonts w:asciiTheme="minorHAnsi" w:hAnsiTheme="minorHAnsi" w:cstheme="minorHAnsi"/>
        </w:rPr>
        <w:t>ommittee</w:t>
      </w:r>
      <w:r w:rsidR="006504D5" w:rsidRPr="006450FB">
        <w:rPr>
          <w:rFonts w:asciiTheme="minorHAnsi" w:hAnsiTheme="minorHAnsi" w:cstheme="minorHAnsi"/>
        </w:rPr>
        <w:t xml:space="preserve"> has noted, “mere convenience is an insufficient justification for not binding the Crown”.</w:t>
      </w:r>
      <w:r w:rsidR="006504D5" w:rsidRPr="006450FB">
        <w:rPr>
          <w:rStyle w:val="FootnoteReference"/>
          <w:rFonts w:asciiTheme="minorHAnsi" w:hAnsiTheme="minorHAnsi" w:cstheme="minorHAnsi"/>
          <w:sz w:val="24"/>
          <w:szCs w:val="24"/>
        </w:rPr>
        <w:footnoteReference w:id="126"/>
      </w:r>
      <w:r w:rsidR="006504D5" w:rsidRPr="006450FB">
        <w:rPr>
          <w:rFonts w:asciiTheme="minorHAnsi" w:hAnsiTheme="minorHAnsi" w:cstheme="minorHAnsi"/>
        </w:rPr>
        <w:t xml:space="preserve"> </w:t>
      </w:r>
      <w:r w:rsidR="00A761A2" w:rsidRPr="006450FB">
        <w:rPr>
          <w:rFonts w:asciiTheme="minorHAnsi" w:hAnsiTheme="minorHAnsi" w:cstheme="minorHAnsi"/>
        </w:rPr>
        <w:t xml:space="preserve">The fact </w:t>
      </w:r>
      <w:r w:rsidR="001D6D18" w:rsidRPr="006450FB">
        <w:rPr>
          <w:rFonts w:asciiTheme="minorHAnsi" w:hAnsiTheme="minorHAnsi" w:cstheme="minorHAnsi"/>
        </w:rPr>
        <w:t>that</w:t>
      </w:r>
      <w:r w:rsidR="00A761A2" w:rsidRPr="006450FB">
        <w:rPr>
          <w:rFonts w:asciiTheme="minorHAnsi" w:hAnsiTheme="minorHAnsi" w:cstheme="minorHAnsi"/>
        </w:rPr>
        <w:t xml:space="preserve"> Crown immunity</w:t>
      </w:r>
      <w:r w:rsidR="001D6D18" w:rsidRPr="006450FB">
        <w:rPr>
          <w:rFonts w:asciiTheme="minorHAnsi" w:hAnsiTheme="minorHAnsi" w:cstheme="minorHAnsi"/>
        </w:rPr>
        <w:t xml:space="preserve"> </w:t>
      </w:r>
      <w:r w:rsidR="00A761A2" w:rsidRPr="006450FB">
        <w:rPr>
          <w:rFonts w:asciiTheme="minorHAnsi" w:hAnsiTheme="minorHAnsi" w:cstheme="minorHAnsi"/>
        </w:rPr>
        <w:t xml:space="preserve">does not </w:t>
      </w:r>
      <w:r w:rsidR="00251386" w:rsidRPr="006450FB">
        <w:rPr>
          <w:rFonts w:asciiTheme="minorHAnsi" w:hAnsiTheme="minorHAnsi" w:cstheme="minorHAnsi"/>
        </w:rPr>
        <w:t>apply</w:t>
      </w:r>
      <w:r w:rsidR="00AB3B01" w:rsidRPr="006450FB">
        <w:rPr>
          <w:rFonts w:asciiTheme="minorHAnsi" w:hAnsiTheme="minorHAnsi" w:cstheme="minorHAnsi"/>
        </w:rPr>
        <w:t xml:space="preserve"> does not</w:t>
      </w:r>
      <w:r w:rsidR="008E4E6E" w:rsidRPr="006450FB">
        <w:rPr>
          <w:rFonts w:asciiTheme="minorHAnsi" w:hAnsiTheme="minorHAnsi" w:cstheme="minorHAnsi"/>
        </w:rPr>
        <w:t xml:space="preserve"> leave</w:t>
      </w:r>
      <w:r w:rsidR="00BE64FC" w:rsidRPr="006450FB">
        <w:rPr>
          <w:rFonts w:asciiTheme="minorHAnsi" w:hAnsiTheme="minorHAnsi" w:cstheme="minorHAnsi"/>
        </w:rPr>
        <w:t xml:space="preserve"> the</w:t>
      </w:r>
      <w:r w:rsidR="001D6D18" w:rsidRPr="006450FB">
        <w:rPr>
          <w:rFonts w:asciiTheme="minorHAnsi" w:hAnsiTheme="minorHAnsi" w:cstheme="minorHAnsi"/>
        </w:rPr>
        <w:t xml:space="preserve"> government </w:t>
      </w:r>
      <w:r w:rsidR="00AB3B01" w:rsidRPr="006450FB">
        <w:rPr>
          <w:rFonts w:asciiTheme="minorHAnsi" w:hAnsiTheme="minorHAnsi" w:cstheme="minorHAnsi"/>
        </w:rPr>
        <w:t>without</w:t>
      </w:r>
      <w:r w:rsidR="001D6D18" w:rsidRPr="006450FB">
        <w:rPr>
          <w:rFonts w:asciiTheme="minorHAnsi" w:hAnsiTheme="minorHAnsi" w:cstheme="minorHAnsi"/>
        </w:rPr>
        <w:t xml:space="preserve"> options.</w:t>
      </w:r>
      <w:r w:rsidR="00A761A2" w:rsidRPr="006450FB">
        <w:rPr>
          <w:rFonts w:asciiTheme="minorHAnsi" w:hAnsiTheme="minorHAnsi" w:cstheme="minorHAnsi"/>
        </w:rPr>
        <w:t xml:space="preserve"> </w:t>
      </w:r>
      <w:r w:rsidR="001D6D18" w:rsidRPr="006450FB">
        <w:rPr>
          <w:rFonts w:asciiTheme="minorHAnsi" w:hAnsiTheme="minorHAnsi" w:cstheme="minorHAnsi"/>
        </w:rPr>
        <w:t>T</w:t>
      </w:r>
      <w:r w:rsidR="00A761A2" w:rsidRPr="006450FB">
        <w:rPr>
          <w:rFonts w:asciiTheme="minorHAnsi" w:hAnsiTheme="minorHAnsi" w:cstheme="minorHAnsi"/>
        </w:rPr>
        <w:t xml:space="preserve">he power to specifically exempt conduct remains, </w:t>
      </w:r>
      <w:r w:rsidR="001D6D18" w:rsidRPr="006450FB">
        <w:rPr>
          <w:rFonts w:asciiTheme="minorHAnsi" w:hAnsiTheme="minorHAnsi" w:cstheme="minorHAnsi"/>
        </w:rPr>
        <w:t>but</w:t>
      </w:r>
      <w:r w:rsidR="003B37E0" w:rsidRPr="006450FB">
        <w:rPr>
          <w:rFonts w:asciiTheme="minorHAnsi" w:hAnsiTheme="minorHAnsi" w:cstheme="minorHAnsi"/>
        </w:rPr>
        <w:t xml:space="preserve"> </w:t>
      </w:r>
      <w:r w:rsidR="00A761A2" w:rsidRPr="006450FB">
        <w:rPr>
          <w:rFonts w:asciiTheme="minorHAnsi" w:hAnsiTheme="minorHAnsi" w:cstheme="minorHAnsi"/>
        </w:rPr>
        <w:t>with the</w:t>
      </w:r>
      <w:r w:rsidR="003B37E0" w:rsidRPr="006450FB">
        <w:rPr>
          <w:rFonts w:asciiTheme="minorHAnsi" w:hAnsiTheme="minorHAnsi" w:cstheme="minorHAnsi"/>
        </w:rPr>
        <w:t xml:space="preserve"> transparency and</w:t>
      </w:r>
      <w:r w:rsidR="00A761A2" w:rsidRPr="006450FB">
        <w:rPr>
          <w:rFonts w:asciiTheme="minorHAnsi" w:hAnsiTheme="minorHAnsi" w:cstheme="minorHAnsi"/>
        </w:rPr>
        <w:t xml:space="preserve"> political accountability that brings</w:t>
      </w:r>
      <w:r w:rsidR="003B37E0" w:rsidRPr="006450FB">
        <w:rPr>
          <w:rFonts w:asciiTheme="minorHAnsi" w:hAnsiTheme="minorHAnsi" w:cstheme="minorHAnsi"/>
        </w:rPr>
        <w:t>.</w:t>
      </w:r>
      <w:r w:rsidR="00A761A2" w:rsidRPr="006450FB">
        <w:rPr>
          <w:rFonts w:asciiTheme="minorHAnsi" w:hAnsiTheme="minorHAnsi" w:cstheme="minorHAnsi"/>
        </w:rPr>
        <w:t xml:space="preserve"> </w:t>
      </w:r>
      <w:r w:rsidR="00D22078" w:rsidRPr="006450FB">
        <w:rPr>
          <w:rFonts w:asciiTheme="minorHAnsi" w:hAnsiTheme="minorHAnsi" w:cstheme="minorHAnsi"/>
        </w:rPr>
        <w:t xml:space="preserve">As the Australian High Court </w:t>
      </w:r>
      <w:r w:rsidR="00A761A2" w:rsidRPr="006450FB">
        <w:rPr>
          <w:rFonts w:asciiTheme="minorHAnsi" w:hAnsiTheme="minorHAnsi" w:cstheme="minorHAnsi"/>
        </w:rPr>
        <w:t xml:space="preserve">has </w:t>
      </w:r>
      <w:r w:rsidR="00D22078" w:rsidRPr="006450FB">
        <w:rPr>
          <w:rFonts w:asciiTheme="minorHAnsi" w:hAnsiTheme="minorHAnsi" w:cstheme="minorHAnsi"/>
        </w:rPr>
        <w:t>noted,</w:t>
      </w:r>
      <w:r w:rsidR="00921AA4" w:rsidRPr="006450FB">
        <w:rPr>
          <w:rFonts w:asciiTheme="minorHAnsi" w:hAnsiTheme="minorHAnsi" w:cstheme="minorHAnsi"/>
        </w:rPr>
        <w:t xml:space="preserve"> when</w:t>
      </w:r>
      <w:r w:rsidR="00D22078" w:rsidRPr="006450FB">
        <w:rPr>
          <w:rFonts w:asciiTheme="minorHAnsi" w:hAnsiTheme="minorHAnsi" w:cstheme="minorHAnsi"/>
        </w:rPr>
        <w:t xml:space="preserve"> interpreting their application of Crown immunity to state actions:</w:t>
      </w:r>
      <w:r w:rsidR="00087638" w:rsidRPr="006450FB">
        <w:rPr>
          <w:rStyle w:val="FootnoteReference"/>
          <w:rFonts w:asciiTheme="minorHAnsi" w:hAnsiTheme="minorHAnsi" w:cstheme="minorHAnsi"/>
          <w:sz w:val="24"/>
          <w:szCs w:val="24"/>
        </w:rPr>
        <w:footnoteReference w:id="127"/>
      </w:r>
    </w:p>
    <w:p w14:paraId="145F66D9" w14:textId="77777777" w:rsidR="003B130D" w:rsidRPr="006450FB" w:rsidRDefault="003B130D" w:rsidP="003B130D">
      <w:pPr>
        <w:pStyle w:val="TextindentedLR"/>
        <w:ind w:firstLine="0"/>
        <w:rPr>
          <w:rFonts w:asciiTheme="minorHAnsi" w:hAnsiTheme="minorHAnsi" w:cstheme="minorHAnsi"/>
        </w:rPr>
      </w:pPr>
    </w:p>
    <w:p w14:paraId="3DAA2320" w14:textId="4D6ED717" w:rsidR="00391276" w:rsidRPr="006450FB" w:rsidRDefault="00587FCE" w:rsidP="003B130D">
      <w:pPr>
        <w:pStyle w:val="QuoteLR"/>
        <w:rPr>
          <w:rFonts w:asciiTheme="minorHAnsi" w:hAnsiTheme="minorHAnsi" w:cstheme="minorHAnsi"/>
        </w:rPr>
      </w:pPr>
      <w:r w:rsidRPr="006450FB">
        <w:rPr>
          <w:rFonts w:asciiTheme="minorHAnsi" w:hAnsiTheme="minorHAnsi" w:cstheme="minorHAnsi"/>
        </w:rPr>
        <w:lastRenderedPageBreak/>
        <w:t xml:space="preserve">Moving away from the particular facts of the present case, promotion of competition and fair trading is at least as likely to be for the benefit of government purchasing authorities as it is to be a potential invasion of government interests. … </w:t>
      </w:r>
      <w:r w:rsidR="003B37E0" w:rsidRPr="006450FB">
        <w:rPr>
          <w:rFonts w:asciiTheme="minorHAnsi" w:hAnsiTheme="minorHAnsi" w:cstheme="minorHAnsi"/>
        </w:rPr>
        <w:t>I</w:t>
      </w:r>
      <w:r w:rsidR="00D22078" w:rsidRPr="006450FB">
        <w:rPr>
          <w:rFonts w:asciiTheme="minorHAnsi" w:hAnsiTheme="minorHAnsi" w:cstheme="minorHAnsi"/>
        </w:rPr>
        <w:t>f State Parliaments see State interests to be threatened by competition law, they have the power of exemption given by s 51(1) of the Act, provided, of course, they are willing to accept the political responsibility of exercising that power with the necessary specificity.</w:t>
      </w:r>
    </w:p>
    <w:p w14:paraId="20C47FC9" w14:textId="77777777" w:rsidR="003B130D" w:rsidRPr="006450FB" w:rsidRDefault="003B130D" w:rsidP="003B130D">
      <w:pPr>
        <w:pStyle w:val="QuoteLR"/>
        <w:ind w:left="0"/>
        <w:rPr>
          <w:rFonts w:asciiTheme="minorHAnsi" w:hAnsiTheme="minorHAnsi" w:cstheme="minorHAnsi"/>
        </w:rPr>
      </w:pPr>
    </w:p>
    <w:p w14:paraId="144045CB" w14:textId="303E71C3" w:rsidR="003B130D" w:rsidRPr="006450FB" w:rsidRDefault="002C425A" w:rsidP="003B130D">
      <w:pPr>
        <w:pStyle w:val="TextnoindentLR"/>
        <w:rPr>
          <w:rFonts w:asciiTheme="minorHAnsi" w:hAnsiTheme="minorHAnsi" w:cstheme="minorHAnsi"/>
        </w:rPr>
      </w:pPr>
      <w:r w:rsidRPr="006450FB">
        <w:rPr>
          <w:rFonts w:asciiTheme="minorHAnsi" w:hAnsiTheme="minorHAnsi" w:cstheme="minorHAnsi"/>
        </w:rPr>
        <w:t>In the long term,</w:t>
      </w:r>
      <w:r w:rsidR="000A2FA8" w:rsidRPr="006450FB">
        <w:rPr>
          <w:rFonts w:asciiTheme="minorHAnsi" w:hAnsiTheme="minorHAnsi" w:cstheme="minorHAnsi"/>
        </w:rPr>
        <w:t xml:space="preserve"> a combination of judicial and parliamentary scrutiny</w:t>
      </w:r>
      <w:r w:rsidRPr="006450FB">
        <w:rPr>
          <w:rFonts w:asciiTheme="minorHAnsi" w:hAnsiTheme="minorHAnsi" w:cstheme="minorHAnsi"/>
        </w:rPr>
        <w:t xml:space="preserve"> </w:t>
      </w:r>
      <w:r w:rsidR="000A2FA8" w:rsidRPr="006450FB">
        <w:rPr>
          <w:rFonts w:asciiTheme="minorHAnsi" w:hAnsiTheme="minorHAnsi" w:cstheme="minorHAnsi"/>
        </w:rPr>
        <w:t xml:space="preserve">would promote greater </w:t>
      </w:r>
      <w:r w:rsidR="00FB26EF" w:rsidRPr="006450FB">
        <w:rPr>
          <w:rFonts w:asciiTheme="minorHAnsi" w:hAnsiTheme="minorHAnsi" w:cstheme="minorHAnsi"/>
        </w:rPr>
        <w:t xml:space="preserve">transparency and </w:t>
      </w:r>
      <w:r w:rsidR="005E5B8F" w:rsidRPr="006450FB">
        <w:rPr>
          <w:rFonts w:asciiTheme="minorHAnsi" w:hAnsiTheme="minorHAnsi" w:cstheme="minorHAnsi"/>
        </w:rPr>
        <w:t>scrutiny</w:t>
      </w:r>
      <w:r w:rsidR="00FB26EF" w:rsidRPr="006450FB">
        <w:rPr>
          <w:rFonts w:asciiTheme="minorHAnsi" w:hAnsiTheme="minorHAnsi" w:cstheme="minorHAnsi"/>
        </w:rPr>
        <w:t xml:space="preserve"> of </w:t>
      </w:r>
      <w:r w:rsidR="00147C05" w:rsidRPr="006450FB">
        <w:rPr>
          <w:rFonts w:asciiTheme="minorHAnsi" w:hAnsiTheme="minorHAnsi" w:cstheme="minorHAnsi"/>
        </w:rPr>
        <w:t xml:space="preserve">decisions to </w:t>
      </w:r>
      <w:r w:rsidR="00040177" w:rsidRPr="006450FB">
        <w:rPr>
          <w:rFonts w:asciiTheme="minorHAnsi" w:hAnsiTheme="minorHAnsi" w:cstheme="minorHAnsi"/>
        </w:rPr>
        <w:t>limit competition</w:t>
      </w:r>
      <w:r w:rsidR="00FB26EF" w:rsidRPr="006450FB">
        <w:rPr>
          <w:rFonts w:asciiTheme="minorHAnsi" w:hAnsiTheme="minorHAnsi" w:cstheme="minorHAnsi"/>
        </w:rPr>
        <w:t>.</w:t>
      </w:r>
      <w:r w:rsidR="00040177" w:rsidRPr="006450FB">
        <w:rPr>
          <w:rFonts w:asciiTheme="minorHAnsi" w:hAnsiTheme="minorHAnsi" w:cstheme="minorHAnsi"/>
        </w:rPr>
        <w:t xml:space="preserve"> This would likely improve the quality of decision-making, and the consideration of less </w:t>
      </w:r>
      <w:r w:rsidR="00DF19E5" w:rsidRPr="006450FB">
        <w:rPr>
          <w:rFonts w:asciiTheme="minorHAnsi" w:hAnsiTheme="minorHAnsi" w:cstheme="minorHAnsi"/>
        </w:rPr>
        <w:t>intrusive</w:t>
      </w:r>
      <w:r w:rsidR="00040177" w:rsidRPr="006450FB">
        <w:rPr>
          <w:rFonts w:asciiTheme="minorHAnsi" w:hAnsiTheme="minorHAnsi" w:cstheme="minorHAnsi"/>
        </w:rPr>
        <w:t xml:space="preserve"> policy alternatives. It would also, to the extent this were a concern, </w:t>
      </w:r>
      <w:r w:rsidRPr="006450FB">
        <w:rPr>
          <w:rFonts w:asciiTheme="minorHAnsi" w:hAnsiTheme="minorHAnsi" w:cstheme="minorHAnsi"/>
        </w:rPr>
        <w:t>reduce the ability of powerful interests, commercial or otherwise, to seek to limit competition through influence on Government action.</w:t>
      </w:r>
    </w:p>
    <w:p w14:paraId="0DBCCE6F" w14:textId="669F0899" w:rsidR="00535036" w:rsidRPr="006450FB" w:rsidRDefault="00BD6EB9" w:rsidP="003B130D">
      <w:pPr>
        <w:pStyle w:val="TextindentedLR"/>
        <w:rPr>
          <w:rFonts w:asciiTheme="minorHAnsi" w:hAnsiTheme="minorHAnsi" w:cstheme="minorHAnsi"/>
        </w:rPr>
      </w:pPr>
      <w:r w:rsidRPr="006450FB">
        <w:rPr>
          <w:rFonts w:asciiTheme="minorHAnsi" w:hAnsiTheme="minorHAnsi" w:cstheme="minorHAnsi"/>
        </w:rPr>
        <w:t xml:space="preserve">One potential objection to such an approach is that applying the Commerce Act to the Crown more broadly could result in the regulator or the courts adjudicating on government policy decisions and weighing up competition and public benefit objectives. But that is something the </w:t>
      </w:r>
      <w:r w:rsidR="00317CE7" w:rsidRPr="006450FB">
        <w:rPr>
          <w:rFonts w:asciiTheme="minorHAnsi" w:hAnsiTheme="minorHAnsi" w:cstheme="minorHAnsi"/>
        </w:rPr>
        <w:t xml:space="preserve">Commerce </w:t>
      </w:r>
      <w:r w:rsidRPr="006450FB">
        <w:rPr>
          <w:rFonts w:asciiTheme="minorHAnsi" w:hAnsiTheme="minorHAnsi" w:cstheme="minorHAnsi"/>
        </w:rPr>
        <w:t xml:space="preserve">Act already requires the Commission and </w:t>
      </w:r>
      <w:r w:rsidR="003D10F4" w:rsidRPr="006450FB">
        <w:rPr>
          <w:rFonts w:asciiTheme="minorHAnsi" w:hAnsiTheme="minorHAnsi" w:cstheme="minorHAnsi"/>
        </w:rPr>
        <w:t>c</w:t>
      </w:r>
      <w:r w:rsidRPr="006450FB">
        <w:rPr>
          <w:rFonts w:asciiTheme="minorHAnsi" w:hAnsiTheme="minorHAnsi" w:cstheme="minorHAnsi"/>
        </w:rPr>
        <w:t>ourt</w:t>
      </w:r>
      <w:r w:rsidR="003D10F4" w:rsidRPr="006450FB">
        <w:rPr>
          <w:rFonts w:asciiTheme="minorHAnsi" w:hAnsiTheme="minorHAnsi" w:cstheme="minorHAnsi"/>
        </w:rPr>
        <w:t>s</w:t>
      </w:r>
      <w:r w:rsidRPr="006450FB">
        <w:rPr>
          <w:rFonts w:asciiTheme="minorHAnsi" w:hAnsiTheme="minorHAnsi" w:cstheme="minorHAnsi"/>
        </w:rPr>
        <w:t xml:space="preserve"> to do in the authorisation context, as noted earlier.</w:t>
      </w:r>
      <w:r w:rsidR="004E70BB" w:rsidRPr="006450FB">
        <w:rPr>
          <w:rFonts w:asciiTheme="minorHAnsi" w:hAnsiTheme="minorHAnsi" w:cstheme="minorHAnsi"/>
        </w:rPr>
        <w:t xml:space="preserve"> Moreover, the potential for parliamentary authorisation remains, where need</w:t>
      </w:r>
      <w:r w:rsidR="000637C7" w:rsidRPr="006450FB">
        <w:rPr>
          <w:rFonts w:asciiTheme="minorHAnsi" w:hAnsiTheme="minorHAnsi" w:cstheme="minorHAnsi"/>
        </w:rPr>
        <w:t>ed.</w:t>
      </w:r>
    </w:p>
    <w:p w14:paraId="08FC9252" w14:textId="5BF816DC" w:rsidR="005949FF" w:rsidRPr="006450FB" w:rsidRDefault="00535036" w:rsidP="003B130D">
      <w:pPr>
        <w:pStyle w:val="Heading1LR"/>
        <w:rPr>
          <w:rFonts w:asciiTheme="minorHAnsi" w:hAnsiTheme="minorHAnsi" w:cstheme="minorHAnsi"/>
        </w:rPr>
      </w:pPr>
      <w:r w:rsidRPr="006450FB">
        <w:rPr>
          <w:rFonts w:asciiTheme="minorHAnsi" w:hAnsiTheme="minorHAnsi" w:cstheme="minorHAnsi"/>
        </w:rPr>
        <w:t>VI</w:t>
      </w:r>
      <w:r w:rsidR="007A40C5">
        <w:rPr>
          <w:rFonts w:asciiTheme="minorHAnsi" w:hAnsiTheme="minorHAnsi" w:cstheme="minorHAnsi"/>
        </w:rPr>
        <w:t>II</w:t>
      </w:r>
      <w:r w:rsidR="001112A6" w:rsidRPr="006450FB">
        <w:rPr>
          <w:rFonts w:asciiTheme="minorHAnsi" w:hAnsiTheme="minorHAnsi" w:cstheme="minorHAnsi"/>
        </w:rPr>
        <w:t xml:space="preserve">  </w:t>
      </w:r>
      <w:r w:rsidR="004E4922" w:rsidRPr="006450FB">
        <w:rPr>
          <w:rFonts w:asciiTheme="minorHAnsi" w:hAnsiTheme="minorHAnsi" w:cstheme="minorHAnsi"/>
        </w:rPr>
        <w:t>Conclusion</w:t>
      </w:r>
    </w:p>
    <w:p w14:paraId="6A756FA2" w14:textId="2FF8F34D" w:rsidR="00535036" w:rsidRPr="006450FB" w:rsidRDefault="004228CF" w:rsidP="003B130D">
      <w:pPr>
        <w:pStyle w:val="TextnoindentLR"/>
        <w:rPr>
          <w:rFonts w:asciiTheme="minorHAnsi" w:hAnsiTheme="minorHAnsi" w:cstheme="minorHAnsi"/>
        </w:rPr>
      </w:pPr>
      <w:r w:rsidRPr="006450FB">
        <w:rPr>
          <w:rFonts w:asciiTheme="minorHAnsi" w:hAnsiTheme="minorHAnsi" w:cstheme="minorHAnsi"/>
        </w:rPr>
        <w:t>The provisions that apply the Commerce Act to the Crown are outdated, and do not reflect changes over the past nearly forty years, including reforms of the public sector</w:t>
      </w:r>
      <w:r w:rsidR="006E10E9" w:rsidRPr="006450FB">
        <w:rPr>
          <w:rFonts w:asciiTheme="minorHAnsi" w:hAnsiTheme="minorHAnsi" w:cstheme="minorHAnsi"/>
        </w:rPr>
        <w:t>’</w:t>
      </w:r>
      <w:r w:rsidRPr="006450FB">
        <w:rPr>
          <w:rFonts w:asciiTheme="minorHAnsi" w:hAnsiTheme="minorHAnsi" w:cstheme="minorHAnsi"/>
        </w:rPr>
        <w:t>s structure and scope.</w:t>
      </w:r>
      <w:r w:rsidR="00974BF6" w:rsidRPr="006450FB">
        <w:rPr>
          <w:rFonts w:asciiTheme="minorHAnsi" w:hAnsiTheme="minorHAnsi" w:cstheme="minorHAnsi"/>
        </w:rPr>
        <w:t xml:space="preserve"> </w:t>
      </w:r>
      <w:r w:rsidR="00B80350" w:rsidRPr="006450FB">
        <w:rPr>
          <w:rFonts w:asciiTheme="minorHAnsi" w:hAnsiTheme="minorHAnsi" w:cstheme="minorHAnsi"/>
        </w:rPr>
        <w:t>The current exception may not cover some conduct</w:t>
      </w:r>
      <w:r w:rsidR="00B60A63" w:rsidRPr="006450FB">
        <w:rPr>
          <w:rFonts w:asciiTheme="minorHAnsi" w:hAnsiTheme="minorHAnsi" w:cstheme="minorHAnsi"/>
        </w:rPr>
        <w:t xml:space="preserve"> that is</w:t>
      </w:r>
      <w:r w:rsidR="00B80350" w:rsidRPr="006450FB">
        <w:rPr>
          <w:rFonts w:asciiTheme="minorHAnsi" w:hAnsiTheme="minorHAnsi" w:cstheme="minorHAnsi"/>
        </w:rPr>
        <w:t xml:space="preserve"> in the public interest</w:t>
      </w:r>
      <w:r w:rsidR="00B60A63" w:rsidRPr="006450FB">
        <w:rPr>
          <w:rFonts w:asciiTheme="minorHAnsi" w:hAnsiTheme="minorHAnsi" w:cstheme="minorHAnsi"/>
        </w:rPr>
        <w:t xml:space="preserve">, because </w:t>
      </w:r>
      <w:r w:rsidR="00090DD8" w:rsidRPr="006450FB">
        <w:rPr>
          <w:rFonts w:asciiTheme="minorHAnsi" w:hAnsiTheme="minorHAnsi" w:cstheme="minorHAnsi"/>
        </w:rPr>
        <w:t xml:space="preserve">public powers are </w:t>
      </w:r>
      <w:r w:rsidR="0003439F" w:rsidRPr="006450FB">
        <w:rPr>
          <w:rFonts w:asciiTheme="minorHAnsi" w:hAnsiTheme="minorHAnsi" w:cstheme="minorHAnsi"/>
        </w:rPr>
        <w:t>exercised</w:t>
      </w:r>
      <w:r w:rsidR="00090DD8" w:rsidRPr="006450FB">
        <w:rPr>
          <w:rFonts w:asciiTheme="minorHAnsi" w:hAnsiTheme="minorHAnsi" w:cstheme="minorHAnsi"/>
        </w:rPr>
        <w:t xml:space="preserve"> </w:t>
      </w:r>
      <w:r w:rsidR="0003439F" w:rsidRPr="006450FB">
        <w:rPr>
          <w:rFonts w:asciiTheme="minorHAnsi" w:hAnsiTheme="minorHAnsi" w:cstheme="minorHAnsi"/>
        </w:rPr>
        <w:t xml:space="preserve">by </w:t>
      </w:r>
      <w:r w:rsidR="00090DD8" w:rsidRPr="006450FB">
        <w:rPr>
          <w:rFonts w:asciiTheme="minorHAnsi" w:hAnsiTheme="minorHAnsi" w:cstheme="minorHAnsi"/>
        </w:rPr>
        <w:t>someone other than the Crown</w:t>
      </w:r>
      <w:r w:rsidR="00BA2D2B" w:rsidRPr="006450FB">
        <w:rPr>
          <w:rFonts w:asciiTheme="minorHAnsi" w:hAnsiTheme="minorHAnsi" w:cstheme="minorHAnsi"/>
        </w:rPr>
        <w:t xml:space="preserve">. The current exception also permits limits on competition which are </w:t>
      </w:r>
      <w:r w:rsidR="00575A09" w:rsidRPr="006450FB">
        <w:rPr>
          <w:rFonts w:asciiTheme="minorHAnsi" w:hAnsiTheme="minorHAnsi" w:cstheme="minorHAnsi"/>
        </w:rPr>
        <w:t>broader than necessary, merely because the Crown is not in trade.</w:t>
      </w:r>
    </w:p>
    <w:p w14:paraId="195F275D" w14:textId="7E19CFB6" w:rsidR="00535036" w:rsidRPr="006450FB" w:rsidRDefault="008A004F" w:rsidP="003B130D">
      <w:pPr>
        <w:pStyle w:val="TextindentedLR"/>
        <w:rPr>
          <w:rFonts w:asciiTheme="minorHAnsi" w:hAnsiTheme="minorHAnsi" w:cstheme="minorHAnsi"/>
          <w:b/>
          <w:bCs/>
        </w:rPr>
      </w:pPr>
      <w:r w:rsidRPr="006450FB">
        <w:rPr>
          <w:rFonts w:asciiTheme="minorHAnsi" w:hAnsiTheme="minorHAnsi" w:cstheme="minorHAnsi"/>
        </w:rPr>
        <w:t>Revising the law will require the drawing of new lines as to where competition law should apply in full.</w:t>
      </w:r>
      <w:r w:rsidR="00974BF6" w:rsidRPr="006450FB">
        <w:rPr>
          <w:rFonts w:asciiTheme="minorHAnsi" w:hAnsiTheme="minorHAnsi" w:cstheme="minorHAnsi"/>
        </w:rPr>
        <w:t xml:space="preserve"> </w:t>
      </w:r>
      <w:r w:rsidR="004228CF" w:rsidRPr="006450FB">
        <w:rPr>
          <w:rFonts w:asciiTheme="minorHAnsi" w:hAnsiTheme="minorHAnsi" w:cstheme="minorHAnsi"/>
        </w:rPr>
        <w:t xml:space="preserve">This article suggests that </w:t>
      </w:r>
      <w:r w:rsidR="00B60A63" w:rsidRPr="006450FB">
        <w:rPr>
          <w:rFonts w:asciiTheme="minorHAnsi" w:hAnsiTheme="minorHAnsi" w:cstheme="minorHAnsi"/>
        </w:rPr>
        <w:t xml:space="preserve">bodies </w:t>
      </w:r>
      <w:r w:rsidR="00EC5739" w:rsidRPr="006450FB">
        <w:rPr>
          <w:rFonts w:asciiTheme="minorHAnsi" w:hAnsiTheme="minorHAnsi" w:cstheme="minorHAnsi"/>
        </w:rPr>
        <w:t>exercising</w:t>
      </w:r>
      <w:r w:rsidR="00B60A63" w:rsidRPr="006450FB">
        <w:rPr>
          <w:rFonts w:asciiTheme="minorHAnsi" w:hAnsiTheme="minorHAnsi" w:cstheme="minorHAnsi"/>
        </w:rPr>
        <w:t xml:space="preserve"> </w:t>
      </w:r>
      <w:r w:rsidR="004228CF" w:rsidRPr="006450FB">
        <w:rPr>
          <w:rFonts w:asciiTheme="minorHAnsi" w:hAnsiTheme="minorHAnsi" w:cstheme="minorHAnsi"/>
        </w:rPr>
        <w:t>public</w:t>
      </w:r>
      <w:r w:rsidR="00B60A63" w:rsidRPr="006450FB">
        <w:rPr>
          <w:rFonts w:asciiTheme="minorHAnsi" w:hAnsiTheme="minorHAnsi" w:cstheme="minorHAnsi"/>
        </w:rPr>
        <w:t xml:space="preserve"> power</w:t>
      </w:r>
      <w:r w:rsidR="004228CF" w:rsidRPr="006450FB">
        <w:rPr>
          <w:rFonts w:asciiTheme="minorHAnsi" w:hAnsiTheme="minorHAnsi" w:cstheme="minorHAnsi"/>
        </w:rPr>
        <w:t xml:space="preserve"> should only be able to limit competition where expressly authorised by Parliament, it is reasonably necessary to achieve some public purpose, or it is permitted by a Commission </w:t>
      </w:r>
      <w:r w:rsidR="00F90004" w:rsidRPr="006450FB">
        <w:rPr>
          <w:rFonts w:asciiTheme="minorHAnsi" w:hAnsiTheme="minorHAnsi" w:cstheme="minorHAnsi"/>
        </w:rPr>
        <w:t>a</w:t>
      </w:r>
      <w:r w:rsidR="004228CF" w:rsidRPr="006450FB">
        <w:rPr>
          <w:rFonts w:asciiTheme="minorHAnsi" w:hAnsiTheme="minorHAnsi" w:cstheme="minorHAnsi"/>
        </w:rPr>
        <w:t>uthorisation.</w:t>
      </w:r>
    </w:p>
    <w:p w14:paraId="310B7D3F" w14:textId="73F3DA5C" w:rsidR="00535036" w:rsidRPr="006450FB" w:rsidRDefault="008A004F" w:rsidP="003B130D">
      <w:pPr>
        <w:pStyle w:val="TextindentedLR"/>
        <w:rPr>
          <w:rFonts w:asciiTheme="minorHAnsi" w:hAnsiTheme="minorHAnsi" w:cstheme="minorHAnsi"/>
        </w:rPr>
      </w:pPr>
      <w:r w:rsidRPr="006450FB">
        <w:rPr>
          <w:rFonts w:asciiTheme="minorHAnsi" w:hAnsiTheme="minorHAnsi" w:cstheme="minorHAnsi"/>
        </w:rPr>
        <w:t xml:space="preserve">If, instead, the existing provisions are in substance retained, then </w:t>
      </w:r>
      <w:r w:rsidR="003A39D5" w:rsidRPr="006450FB">
        <w:rPr>
          <w:rFonts w:asciiTheme="minorHAnsi" w:hAnsiTheme="minorHAnsi" w:cstheme="minorHAnsi"/>
        </w:rPr>
        <w:t xml:space="preserve">it </w:t>
      </w:r>
      <w:r w:rsidR="00974BF6" w:rsidRPr="006450FB">
        <w:rPr>
          <w:rFonts w:asciiTheme="minorHAnsi" w:hAnsiTheme="minorHAnsi" w:cstheme="minorHAnsi"/>
        </w:rPr>
        <w:t>sh</w:t>
      </w:r>
      <w:r w:rsidR="003A39D5" w:rsidRPr="006450FB">
        <w:rPr>
          <w:rFonts w:asciiTheme="minorHAnsi" w:hAnsiTheme="minorHAnsi" w:cstheme="minorHAnsi"/>
        </w:rPr>
        <w:t xml:space="preserve">ould be made clearer </w:t>
      </w:r>
      <w:r w:rsidR="00BA1F80" w:rsidRPr="006450FB">
        <w:rPr>
          <w:rFonts w:asciiTheme="minorHAnsi" w:hAnsiTheme="minorHAnsi" w:cstheme="minorHAnsi"/>
        </w:rPr>
        <w:t>who</w:t>
      </w:r>
      <w:r w:rsidR="003A39D5" w:rsidRPr="006450FB">
        <w:rPr>
          <w:rFonts w:asciiTheme="minorHAnsi" w:hAnsiTheme="minorHAnsi" w:cstheme="minorHAnsi"/>
        </w:rPr>
        <w:t xml:space="preserve"> </w:t>
      </w:r>
      <w:r w:rsidRPr="006450FB">
        <w:rPr>
          <w:rFonts w:asciiTheme="minorHAnsi" w:hAnsiTheme="minorHAnsi" w:cstheme="minorHAnsi"/>
        </w:rPr>
        <w:t xml:space="preserve">is the Crown, </w:t>
      </w:r>
      <w:r w:rsidR="00BA1F80" w:rsidRPr="006450FB">
        <w:rPr>
          <w:rFonts w:asciiTheme="minorHAnsi" w:hAnsiTheme="minorHAnsi" w:cstheme="minorHAnsi"/>
        </w:rPr>
        <w:t xml:space="preserve">and </w:t>
      </w:r>
      <w:r w:rsidRPr="006450FB">
        <w:rPr>
          <w:rFonts w:asciiTheme="minorHAnsi" w:hAnsiTheme="minorHAnsi" w:cstheme="minorHAnsi"/>
        </w:rPr>
        <w:t xml:space="preserve">when the Crown is in trade. </w:t>
      </w:r>
      <w:r w:rsidR="00F043AF" w:rsidRPr="006450FB">
        <w:rPr>
          <w:rFonts w:asciiTheme="minorHAnsi" w:hAnsiTheme="minorHAnsi" w:cstheme="minorHAnsi"/>
        </w:rPr>
        <w:t xml:space="preserve">In </w:t>
      </w:r>
      <w:r w:rsidR="00BA1F80" w:rsidRPr="006450FB">
        <w:rPr>
          <w:rFonts w:asciiTheme="minorHAnsi" w:hAnsiTheme="minorHAnsi" w:cstheme="minorHAnsi"/>
        </w:rPr>
        <w:t>addition,</w:t>
      </w:r>
      <w:r w:rsidR="00F043AF" w:rsidRPr="006450FB">
        <w:rPr>
          <w:rFonts w:asciiTheme="minorHAnsi" w:hAnsiTheme="minorHAnsi" w:cstheme="minorHAnsi"/>
        </w:rPr>
        <w:t xml:space="preserve"> greater consolidation and </w:t>
      </w:r>
      <w:r w:rsidR="00112A85" w:rsidRPr="006450FB">
        <w:rPr>
          <w:rFonts w:asciiTheme="minorHAnsi" w:hAnsiTheme="minorHAnsi" w:cstheme="minorHAnsi"/>
        </w:rPr>
        <w:t>consistency</w:t>
      </w:r>
      <w:r w:rsidR="00F043AF" w:rsidRPr="006450FB">
        <w:rPr>
          <w:rFonts w:asciiTheme="minorHAnsi" w:hAnsiTheme="minorHAnsi" w:cstheme="minorHAnsi"/>
        </w:rPr>
        <w:t xml:space="preserve"> in relation to express authorisations is both desirable and </w:t>
      </w:r>
      <w:r w:rsidR="0003439F" w:rsidRPr="006450FB">
        <w:rPr>
          <w:rFonts w:asciiTheme="minorHAnsi" w:hAnsiTheme="minorHAnsi" w:cstheme="minorHAnsi"/>
        </w:rPr>
        <w:t>achievable</w:t>
      </w:r>
      <w:r w:rsidR="00F043AF" w:rsidRPr="006450FB">
        <w:rPr>
          <w:rFonts w:asciiTheme="minorHAnsi" w:hAnsiTheme="minorHAnsi" w:cstheme="minorHAnsi"/>
        </w:rPr>
        <w:t>.</w:t>
      </w:r>
    </w:p>
    <w:p w14:paraId="541691E1" w14:textId="7F6A1EDA" w:rsidR="0000169B" w:rsidRPr="006450FB" w:rsidRDefault="00D574A8" w:rsidP="003B130D">
      <w:pPr>
        <w:pStyle w:val="TextindentedLR"/>
        <w:rPr>
          <w:rFonts w:asciiTheme="minorHAnsi" w:eastAsia="Calibri" w:hAnsiTheme="minorHAnsi" w:cstheme="minorHAnsi"/>
          <w:color w:val="212121"/>
          <w:sz w:val="28"/>
        </w:rPr>
      </w:pPr>
      <w:r w:rsidRPr="006450FB">
        <w:rPr>
          <w:rFonts w:asciiTheme="minorHAnsi" w:hAnsiTheme="minorHAnsi" w:cstheme="minorHAnsi"/>
        </w:rPr>
        <w:t xml:space="preserve">Whichever approach is adopted, </w:t>
      </w:r>
      <w:r w:rsidR="00A13EDF" w:rsidRPr="006450FB">
        <w:rPr>
          <w:rFonts w:asciiTheme="minorHAnsi" w:hAnsiTheme="minorHAnsi" w:cstheme="minorHAnsi"/>
        </w:rPr>
        <w:t>any</w:t>
      </w:r>
      <w:r w:rsidR="00AB007E" w:rsidRPr="006450FB">
        <w:rPr>
          <w:rFonts w:asciiTheme="minorHAnsi" w:hAnsiTheme="minorHAnsi" w:cstheme="minorHAnsi"/>
        </w:rPr>
        <w:t xml:space="preserve"> exceptions to competition law </w:t>
      </w:r>
      <w:r w:rsidR="00A13EDF" w:rsidRPr="006450FB">
        <w:rPr>
          <w:rFonts w:asciiTheme="minorHAnsi" w:hAnsiTheme="minorHAnsi" w:cstheme="minorHAnsi"/>
        </w:rPr>
        <w:t xml:space="preserve">should be transparent, clear, </w:t>
      </w:r>
      <w:r w:rsidR="008A7ACA" w:rsidRPr="006450FB">
        <w:rPr>
          <w:rFonts w:asciiTheme="minorHAnsi" w:hAnsiTheme="minorHAnsi" w:cstheme="minorHAnsi"/>
        </w:rPr>
        <w:t>and no broader than needed.</w:t>
      </w:r>
      <w:r w:rsidR="001112A6" w:rsidRPr="006450FB">
        <w:rPr>
          <w:rFonts w:asciiTheme="minorHAnsi" w:hAnsiTheme="minorHAnsi" w:cstheme="minorHAnsi"/>
        </w:rPr>
        <w:t xml:space="preserve"> </w:t>
      </w:r>
      <w:r w:rsidR="008A7ACA" w:rsidRPr="006450FB">
        <w:rPr>
          <w:rFonts w:asciiTheme="minorHAnsi" w:hAnsiTheme="minorHAnsi" w:cstheme="minorHAnsi"/>
        </w:rPr>
        <w:t xml:space="preserve">They should also </w:t>
      </w:r>
      <w:r w:rsidR="00A13EDF" w:rsidRPr="006450FB">
        <w:rPr>
          <w:rFonts w:asciiTheme="minorHAnsi" w:hAnsiTheme="minorHAnsi" w:cstheme="minorHAnsi"/>
        </w:rPr>
        <w:t xml:space="preserve">encourage justification </w:t>
      </w:r>
      <w:r w:rsidR="008A7ACA" w:rsidRPr="006450FB">
        <w:rPr>
          <w:rFonts w:asciiTheme="minorHAnsi" w:hAnsiTheme="minorHAnsi" w:cstheme="minorHAnsi"/>
        </w:rPr>
        <w:t xml:space="preserve">of decisions made under them to limit competition. Finally, any changes should be kept under review. Ideally, before the reign of King William </w:t>
      </w:r>
      <w:r w:rsidR="004225F1" w:rsidRPr="006450FB">
        <w:rPr>
          <w:rFonts w:asciiTheme="minorHAnsi" w:hAnsiTheme="minorHAnsi" w:cstheme="minorHAnsi"/>
        </w:rPr>
        <w:t>V.</w:t>
      </w:r>
    </w:p>
    <w:sectPr w:rsidR="0000169B" w:rsidRPr="006450FB">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47D2D7" w14:textId="77777777" w:rsidR="00106861" w:rsidRDefault="00106861">
      <w:pPr>
        <w:spacing w:after="0" w:line="240" w:lineRule="auto"/>
      </w:pPr>
      <w:r>
        <w:separator/>
      </w:r>
    </w:p>
  </w:endnote>
  <w:endnote w:type="continuationSeparator" w:id="0">
    <w:p w14:paraId="693BF0CC" w14:textId="77777777" w:rsidR="00106861" w:rsidRDefault="00106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7393213"/>
      <w:docPartObj>
        <w:docPartGallery w:val="Page Numbers (Bottom of Page)"/>
        <w:docPartUnique/>
      </w:docPartObj>
    </w:sdtPr>
    <w:sdtEndPr>
      <w:rPr>
        <w:rStyle w:val="PageNumber"/>
      </w:rPr>
    </w:sdtEndPr>
    <w:sdtContent>
      <w:p w14:paraId="72121153" w14:textId="04996306" w:rsidR="00E87F7D" w:rsidRDefault="00E87F7D" w:rsidP="00A46D1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20C046A" w14:textId="77777777" w:rsidR="00E87F7D" w:rsidRDefault="00E87F7D" w:rsidP="00E87F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13685809"/>
      <w:docPartObj>
        <w:docPartGallery w:val="Page Numbers (Bottom of Page)"/>
        <w:docPartUnique/>
      </w:docPartObj>
    </w:sdtPr>
    <w:sdtEndPr>
      <w:rPr>
        <w:rStyle w:val="PageNumber"/>
        <w:rFonts w:ascii="Times New Roman" w:hAnsi="Times New Roman" w:cs="Times New Roman"/>
        <w:sz w:val="20"/>
        <w:szCs w:val="22"/>
      </w:rPr>
    </w:sdtEndPr>
    <w:sdtContent>
      <w:p w14:paraId="39F05441" w14:textId="15B463FA" w:rsidR="00E87F7D" w:rsidRPr="00E87F7D" w:rsidRDefault="00E87F7D" w:rsidP="00A46D1F">
        <w:pPr>
          <w:pStyle w:val="Footer"/>
          <w:framePr w:wrap="none" w:vAnchor="text" w:hAnchor="margin" w:xAlign="right" w:y="1"/>
          <w:rPr>
            <w:rStyle w:val="PageNumber"/>
            <w:rFonts w:ascii="Times New Roman" w:hAnsi="Times New Roman" w:cs="Times New Roman"/>
            <w:sz w:val="20"/>
            <w:szCs w:val="22"/>
          </w:rPr>
        </w:pPr>
        <w:r w:rsidRPr="00E87F7D">
          <w:rPr>
            <w:rStyle w:val="PageNumber"/>
            <w:rFonts w:ascii="Times New Roman" w:hAnsi="Times New Roman" w:cs="Times New Roman"/>
            <w:sz w:val="20"/>
            <w:szCs w:val="22"/>
          </w:rPr>
          <w:fldChar w:fldCharType="begin"/>
        </w:r>
        <w:r w:rsidRPr="00E87F7D">
          <w:rPr>
            <w:rStyle w:val="PageNumber"/>
            <w:rFonts w:ascii="Times New Roman" w:hAnsi="Times New Roman" w:cs="Times New Roman"/>
            <w:sz w:val="20"/>
            <w:szCs w:val="22"/>
          </w:rPr>
          <w:instrText xml:space="preserve"> PAGE </w:instrText>
        </w:r>
        <w:r w:rsidRPr="00E87F7D">
          <w:rPr>
            <w:rStyle w:val="PageNumber"/>
            <w:rFonts w:ascii="Times New Roman" w:hAnsi="Times New Roman" w:cs="Times New Roman"/>
            <w:sz w:val="20"/>
            <w:szCs w:val="22"/>
          </w:rPr>
          <w:fldChar w:fldCharType="separate"/>
        </w:r>
        <w:r w:rsidRPr="00E87F7D">
          <w:rPr>
            <w:rStyle w:val="PageNumber"/>
            <w:rFonts w:ascii="Times New Roman" w:hAnsi="Times New Roman" w:cs="Times New Roman"/>
            <w:noProof/>
            <w:sz w:val="20"/>
            <w:szCs w:val="22"/>
          </w:rPr>
          <w:t>25</w:t>
        </w:r>
        <w:r w:rsidRPr="00E87F7D">
          <w:rPr>
            <w:rStyle w:val="PageNumber"/>
            <w:rFonts w:ascii="Times New Roman" w:hAnsi="Times New Roman" w:cs="Times New Roman"/>
            <w:sz w:val="20"/>
            <w:szCs w:val="22"/>
          </w:rPr>
          <w:fldChar w:fldCharType="end"/>
        </w:r>
      </w:p>
    </w:sdtContent>
  </w:sdt>
  <w:p w14:paraId="0DC2A6F5" w14:textId="77777777" w:rsidR="0004344F" w:rsidRDefault="0004344F" w:rsidP="00E87F7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94BE9B" w14:textId="77777777" w:rsidR="00106861" w:rsidRDefault="00106861">
      <w:pPr>
        <w:spacing w:after="0" w:line="240" w:lineRule="auto"/>
      </w:pPr>
      <w:r>
        <w:continuationSeparator/>
      </w:r>
    </w:p>
  </w:footnote>
  <w:footnote w:type="continuationSeparator" w:id="0">
    <w:p w14:paraId="75AE0710" w14:textId="77777777" w:rsidR="00106861" w:rsidRDefault="00106861">
      <w:pPr>
        <w:spacing w:after="0" w:line="240" w:lineRule="auto"/>
      </w:pPr>
      <w:r>
        <w:continuationSeparator/>
      </w:r>
    </w:p>
  </w:footnote>
  <w:footnote w:id="1">
    <w:p w14:paraId="0CE9FB56" w14:textId="54AE0606" w:rsidR="00DF26AA" w:rsidRPr="00E35810" w:rsidRDefault="00DF26AA"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t>*</w:t>
      </w:r>
      <w:r w:rsidR="006D47F0" w:rsidRPr="00E35810">
        <w:rPr>
          <w:rFonts w:asciiTheme="minorHAnsi" w:hAnsiTheme="minorHAnsi" w:cstheme="minorHAnsi"/>
        </w:rPr>
        <w:t xml:space="preserve"> Barrister</w:t>
      </w:r>
      <w:r w:rsidR="006450FB" w:rsidRPr="00E35810">
        <w:rPr>
          <w:rFonts w:asciiTheme="minorHAnsi" w:hAnsiTheme="minorHAnsi" w:cstheme="minorHAnsi"/>
        </w:rPr>
        <w:t>, Clifton Chambers</w:t>
      </w:r>
      <w:r w:rsidR="006D47F0" w:rsidRPr="00E35810">
        <w:rPr>
          <w:rFonts w:asciiTheme="minorHAnsi" w:hAnsiTheme="minorHAnsi" w:cstheme="minorHAnsi"/>
        </w:rPr>
        <w:t>.</w:t>
      </w:r>
      <w:r w:rsidR="00323954" w:rsidRPr="00E35810">
        <w:rPr>
          <w:rFonts w:asciiTheme="minorHAnsi" w:hAnsiTheme="minorHAnsi" w:cstheme="minorHAnsi"/>
        </w:rPr>
        <w:t xml:space="preserve"> The views expressed in this article are the author</w:t>
      </w:r>
      <w:r w:rsidR="00A21C4B" w:rsidRPr="00E35810">
        <w:rPr>
          <w:rFonts w:asciiTheme="minorHAnsi" w:hAnsiTheme="minorHAnsi" w:cstheme="minorHAnsi"/>
        </w:rPr>
        <w:t>’</w:t>
      </w:r>
      <w:r w:rsidR="00323954" w:rsidRPr="00E35810">
        <w:rPr>
          <w:rFonts w:asciiTheme="minorHAnsi" w:hAnsiTheme="minorHAnsi" w:cstheme="minorHAnsi"/>
        </w:rPr>
        <w:t>s alone.</w:t>
      </w:r>
    </w:p>
  </w:footnote>
  <w:footnote w:id="2">
    <w:p w14:paraId="4390A7F4" w14:textId="77777777" w:rsidR="006C7084" w:rsidRDefault="006C7084" w:rsidP="006C7084">
      <w:pPr>
        <w:pStyle w:val="FootnotesLR"/>
      </w:pPr>
      <w:r w:rsidRPr="0042586B">
        <w:rPr>
          <w:rStyle w:val="FootnoteReference"/>
          <w:rFonts w:asciiTheme="minorHAnsi" w:hAnsiTheme="minorHAnsi" w:cstheme="minorHAnsi"/>
          <w:vertAlign w:val="baseline"/>
        </w:rPr>
        <w:footnoteRef/>
      </w:r>
      <w:r w:rsidRPr="0042586B">
        <w:rPr>
          <w:rStyle w:val="FootnoteReference"/>
          <w:rFonts w:asciiTheme="minorHAnsi" w:hAnsiTheme="minorHAnsi" w:cstheme="minorHAnsi"/>
          <w:vertAlign w:val="baseline"/>
        </w:rPr>
        <w:t xml:space="preserve"> </w:t>
      </w:r>
      <w:r w:rsidRPr="006C7084">
        <w:rPr>
          <w:rFonts w:asciiTheme="minorHAnsi" w:hAnsiTheme="minorHAnsi" w:cstheme="minorHAnsi"/>
        </w:rPr>
        <w:t>Sunstein, Cass R. 2024. "The Economic Constitution of the United States." Journal of Economic Perspectives, 38 (2): 25–42</w:t>
      </w:r>
    </w:p>
  </w:footnote>
  <w:footnote w:id="3">
    <w:p w14:paraId="42CE1E4B" w14:textId="2F310A6D" w:rsidR="00B34DCB" w:rsidRPr="00074900" w:rsidRDefault="00B34DCB" w:rsidP="00074900">
      <w:pPr>
        <w:pStyle w:val="FootnotesLR"/>
        <w:rPr>
          <w:rFonts w:asciiTheme="minorHAnsi" w:hAnsiTheme="minorHAnsi" w:cstheme="minorHAnsi"/>
        </w:rPr>
      </w:pPr>
      <w:r w:rsidRPr="0042586B">
        <w:rPr>
          <w:rStyle w:val="FootnoteReference"/>
          <w:rFonts w:cstheme="minorHAnsi"/>
          <w:vertAlign w:val="baseline"/>
        </w:rPr>
        <w:footnoteRef/>
      </w:r>
      <w:r w:rsidRPr="0042586B">
        <w:rPr>
          <w:rStyle w:val="FootnoteReference"/>
          <w:rFonts w:cstheme="minorHAnsi"/>
          <w:vertAlign w:val="baseline"/>
        </w:rPr>
        <w:t xml:space="preserve"> </w:t>
      </w:r>
      <w:r w:rsidR="00074900">
        <w:rPr>
          <w:rFonts w:cstheme="minorHAnsi"/>
        </w:rPr>
        <w:tab/>
      </w:r>
      <w:r w:rsidR="00AF7A73" w:rsidRPr="00074900">
        <w:rPr>
          <w:rFonts w:asciiTheme="minorHAnsi" w:hAnsiTheme="minorHAnsi" w:cstheme="minorHAnsi"/>
          <w:i/>
          <w:iCs/>
        </w:rPr>
        <w:t>Central Plains Water Trust v Ngai Tahu Properties Ltd</w:t>
      </w:r>
      <w:r w:rsidR="00AF7A73" w:rsidRPr="00074900">
        <w:rPr>
          <w:rFonts w:asciiTheme="minorHAnsi" w:hAnsiTheme="minorHAnsi" w:cstheme="minorHAnsi"/>
        </w:rPr>
        <w:t xml:space="preserve"> [2008] NZCA 71</w:t>
      </w:r>
      <w:r w:rsidR="00074900" w:rsidRPr="00074900">
        <w:rPr>
          <w:rFonts w:asciiTheme="minorHAnsi" w:hAnsiTheme="minorHAnsi" w:cstheme="minorHAnsi"/>
        </w:rPr>
        <w:t>, (2008) 14 ELRNZ 61</w:t>
      </w:r>
      <w:r w:rsidR="00AF7A73" w:rsidRPr="00074900">
        <w:rPr>
          <w:rFonts w:asciiTheme="minorHAnsi" w:hAnsiTheme="minorHAnsi" w:cstheme="minorHAnsi"/>
        </w:rPr>
        <w:t xml:space="preserve"> at [97].</w:t>
      </w:r>
    </w:p>
  </w:footnote>
  <w:footnote w:id="4">
    <w:p w14:paraId="6F0DCA45" w14:textId="0A8BC96D" w:rsidR="00906010" w:rsidRPr="00E35810" w:rsidRDefault="00906010"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8C3337" w:rsidRPr="00E35810">
        <w:rPr>
          <w:rFonts w:asciiTheme="minorHAnsi" w:hAnsiTheme="minorHAnsi" w:cstheme="minorHAnsi"/>
        </w:rPr>
        <w:tab/>
      </w:r>
      <w:r w:rsidR="00250CD8" w:rsidRPr="00E35810">
        <w:rPr>
          <w:rFonts w:asciiTheme="minorHAnsi" w:hAnsiTheme="minorHAnsi" w:cstheme="minorHAnsi"/>
        </w:rPr>
        <w:t xml:space="preserve">Law Commission </w:t>
      </w:r>
      <w:r w:rsidRPr="00E35810">
        <w:rPr>
          <w:rFonts w:asciiTheme="minorHAnsi" w:hAnsiTheme="minorHAnsi" w:cstheme="minorHAnsi"/>
          <w:i/>
          <w:iCs/>
        </w:rPr>
        <w:t>A New Crown Civil Proceedings Act for New Zealand</w:t>
      </w:r>
      <w:r w:rsidR="00250CD8" w:rsidRPr="00E35810">
        <w:rPr>
          <w:rFonts w:asciiTheme="minorHAnsi" w:hAnsiTheme="minorHAnsi" w:cstheme="minorHAnsi"/>
        </w:rPr>
        <w:t xml:space="preserve"> (NZLC IP35, </w:t>
      </w:r>
      <w:r w:rsidRPr="00E35810">
        <w:rPr>
          <w:rFonts w:asciiTheme="minorHAnsi" w:hAnsiTheme="minorHAnsi" w:cstheme="minorHAnsi"/>
        </w:rPr>
        <w:t>2014</w:t>
      </w:r>
      <w:r w:rsidR="00250CD8" w:rsidRPr="00E35810">
        <w:rPr>
          <w:rFonts w:asciiTheme="minorHAnsi" w:hAnsiTheme="minorHAnsi" w:cstheme="minorHAnsi"/>
        </w:rPr>
        <w:t>)</w:t>
      </w:r>
      <w:r w:rsidRPr="00E35810">
        <w:rPr>
          <w:rFonts w:asciiTheme="minorHAnsi" w:hAnsiTheme="minorHAnsi" w:cstheme="minorHAnsi"/>
        </w:rPr>
        <w:t xml:space="preserve"> at </w:t>
      </w:r>
      <w:r w:rsidR="00250CD8" w:rsidRPr="00E35810">
        <w:rPr>
          <w:rFonts w:asciiTheme="minorHAnsi" w:hAnsiTheme="minorHAnsi" w:cstheme="minorHAnsi"/>
        </w:rPr>
        <w:t>[</w:t>
      </w:r>
      <w:r w:rsidRPr="00E35810">
        <w:rPr>
          <w:rFonts w:asciiTheme="minorHAnsi" w:hAnsiTheme="minorHAnsi" w:cstheme="minorHAnsi"/>
        </w:rPr>
        <w:t>1.4</w:t>
      </w:r>
      <w:r w:rsidR="00250CD8" w:rsidRPr="00E35810">
        <w:rPr>
          <w:rFonts w:asciiTheme="minorHAnsi" w:hAnsiTheme="minorHAnsi" w:cstheme="minorHAnsi"/>
        </w:rPr>
        <w:t>]</w:t>
      </w:r>
      <w:r w:rsidRPr="00E35810">
        <w:rPr>
          <w:rFonts w:asciiTheme="minorHAnsi" w:hAnsiTheme="minorHAnsi" w:cstheme="minorHAnsi"/>
        </w:rPr>
        <w:t>.</w:t>
      </w:r>
    </w:p>
  </w:footnote>
  <w:footnote w:id="5">
    <w:p w14:paraId="7F15B2D2" w14:textId="74A24B9E" w:rsidR="00906010" w:rsidRPr="00E35810" w:rsidRDefault="00906010" w:rsidP="00CA7C8B">
      <w:pPr>
        <w:pStyle w:val="FootnotesLR"/>
        <w:rPr>
          <w:rStyle w:val="FootnoteReference"/>
          <w:rFonts w:asciiTheme="minorHAnsi" w:hAnsiTheme="minorHAnsi" w:cstheme="minorHAnsi"/>
          <w:vertAlign w:val="baseline"/>
        </w:rPr>
      </w:pPr>
      <w:r w:rsidRPr="00E35810">
        <w:rPr>
          <w:rStyle w:val="FootnoteReference"/>
          <w:rFonts w:asciiTheme="minorHAnsi" w:hAnsiTheme="minorHAnsi" w:cstheme="minorHAnsi"/>
          <w:vertAlign w:val="baseline"/>
        </w:rPr>
        <w:footnoteRef/>
      </w:r>
      <w:r w:rsidRPr="00E35810">
        <w:rPr>
          <w:rStyle w:val="FootnoteReference"/>
          <w:rFonts w:asciiTheme="minorHAnsi" w:hAnsiTheme="minorHAnsi" w:cstheme="minorHAnsi"/>
          <w:vertAlign w:val="baseline"/>
        </w:rPr>
        <w:t xml:space="preserve"> </w:t>
      </w:r>
      <w:r w:rsidR="009A76E5" w:rsidRPr="00E35810">
        <w:rPr>
          <w:rFonts w:asciiTheme="minorHAnsi" w:hAnsiTheme="minorHAnsi" w:cstheme="minorHAnsi"/>
        </w:rPr>
        <w:tab/>
      </w:r>
      <w:r w:rsidRPr="00E35810">
        <w:rPr>
          <w:rStyle w:val="FootnoteReference"/>
          <w:rFonts w:asciiTheme="minorHAnsi" w:hAnsiTheme="minorHAnsi" w:cstheme="minorHAnsi"/>
          <w:vertAlign w:val="baseline"/>
        </w:rPr>
        <w:t xml:space="preserve">Legislative Design and Advisory Committee </w:t>
      </w:r>
      <w:r w:rsidR="00250CD8" w:rsidRPr="00E35810">
        <w:rPr>
          <w:rFonts w:asciiTheme="minorHAnsi" w:hAnsiTheme="minorHAnsi" w:cstheme="minorHAnsi"/>
          <w:i/>
          <w:iCs/>
        </w:rPr>
        <w:t xml:space="preserve">Legislation </w:t>
      </w:r>
      <w:r w:rsidRPr="00E35810">
        <w:rPr>
          <w:rStyle w:val="FootnoteReference"/>
          <w:rFonts w:asciiTheme="minorHAnsi" w:hAnsiTheme="minorHAnsi" w:cstheme="minorHAnsi"/>
          <w:i/>
          <w:iCs/>
          <w:vertAlign w:val="baseline"/>
        </w:rPr>
        <w:t>Guidelines</w:t>
      </w:r>
      <w:r w:rsidRPr="00E35810">
        <w:rPr>
          <w:rStyle w:val="FootnoteReference"/>
          <w:rFonts w:asciiTheme="minorHAnsi" w:hAnsiTheme="minorHAnsi" w:cstheme="minorHAnsi"/>
          <w:vertAlign w:val="baseline"/>
        </w:rPr>
        <w:t xml:space="preserve"> (</w:t>
      </w:r>
      <w:r w:rsidR="001829BC" w:rsidRPr="00E35810">
        <w:rPr>
          <w:rFonts w:asciiTheme="minorHAnsi" w:hAnsiTheme="minorHAnsi" w:cstheme="minorHAnsi"/>
        </w:rPr>
        <w:t xml:space="preserve">September </w:t>
      </w:r>
      <w:r w:rsidRPr="00E35810">
        <w:rPr>
          <w:rStyle w:val="FootnoteReference"/>
          <w:rFonts w:asciiTheme="minorHAnsi" w:hAnsiTheme="minorHAnsi" w:cstheme="minorHAnsi"/>
          <w:vertAlign w:val="baseline"/>
        </w:rPr>
        <w:t>2021</w:t>
      </w:r>
      <w:r w:rsidR="001829BC" w:rsidRPr="00E35810">
        <w:rPr>
          <w:rFonts w:asciiTheme="minorHAnsi" w:hAnsiTheme="minorHAnsi" w:cstheme="minorHAnsi"/>
        </w:rPr>
        <w:t>)</w:t>
      </w:r>
      <w:r w:rsidRPr="00E35810">
        <w:rPr>
          <w:rStyle w:val="FootnoteReference"/>
          <w:rFonts w:asciiTheme="minorHAnsi" w:hAnsiTheme="minorHAnsi" w:cstheme="minorHAnsi"/>
          <w:vertAlign w:val="baseline"/>
        </w:rPr>
        <w:t xml:space="preserve"> </w:t>
      </w:r>
      <w:hyperlink r:id="rId1" w:history="1">
        <w:r w:rsidR="00043C66" w:rsidRPr="00E35810">
          <w:rPr>
            <w:rStyle w:val="FootnoteReference"/>
            <w:rFonts w:asciiTheme="minorHAnsi" w:hAnsiTheme="minorHAnsi" w:cstheme="minorHAnsi"/>
            <w:vertAlign w:val="baseline"/>
          </w:rPr>
          <w:t>at 5</w:t>
        </w:r>
        <w:r w:rsidR="00043C66" w:rsidRPr="00E35810">
          <w:rPr>
            <w:rFonts w:asciiTheme="minorHAnsi" w:hAnsiTheme="minorHAnsi" w:cstheme="minorHAnsi"/>
          </w:rPr>
          <w:t>4</w:t>
        </w:r>
      </w:hyperlink>
      <w:r w:rsidR="008F00FE" w:rsidRPr="00E35810">
        <w:rPr>
          <w:rStyle w:val="FootnoteReference"/>
          <w:rFonts w:asciiTheme="minorHAnsi" w:hAnsiTheme="minorHAnsi" w:cstheme="minorHAnsi"/>
          <w:vertAlign w:val="baseline"/>
        </w:rPr>
        <w:t>.</w:t>
      </w:r>
    </w:p>
  </w:footnote>
  <w:footnote w:id="6">
    <w:p w14:paraId="7E7A28EF" w14:textId="4371FBCC" w:rsidR="00906010" w:rsidRPr="00E35810" w:rsidRDefault="00906010"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9045A8" w:rsidRPr="00E35810">
        <w:rPr>
          <w:rFonts w:asciiTheme="minorHAnsi" w:hAnsiTheme="minorHAnsi" w:cstheme="minorHAnsi"/>
        </w:rPr>
        <w:tab/>
      </w:r>
      <w:r w:rsidR="009B20C1" w:rsidRPr="00E35810">
        <w:rPr>
          <w:rFonts w:asciiTheme="minorHAnsi" w:hAnsiTheme="minorHAnsi" w:cstheme="minorHAnsi"/>
        </w:rPr>
        <w:t>Section</w:t>
      </w:r>
      <w:r w:rsidR="001C1874" w:rsidRPr="00E35810">
        <w:rPr>
          <w:rFonts w:asciiTheme="minorHAnsi" w:hAnsiTheme="minorHAnsi" w:cstheme="minorHAnsi"/>
        </w:rPr>
        <w:t xml:space="preserve"> 22</w:t>
      </w:r>
      <w:r w:rsidR="008F00FE" w:rsidRPr="00E35810">
        <w:rPr>
          <w:rFonts w:asciiTheme="minorHAnsi" w:hAnsiTheme="minorHAnsi" w:cstheme="minorHAnsi"/>
        </w:rPr>
        <w:t>.</w:t>
      </w:r>
    </w:p>
  </w:footnote>
  <w:footnote w:id="7">
    <w:p w14:paraId="2374E300" w14:textId="4C8943BB" w:rsidR="00CE1CCE" w:rsidRPr="00E35810" w:rsidRDefault="00CE1CCE"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9045A8" w:rsidRPr="00E35810">
        <w:rPr>
          <w:rFonts w:asciiTheme="minorHAnsi" w:hAnsiTheme="minorHAnsi" w:cstheme="minorHAnsi"/>
        </w:rPr>
        <w:tab/>
      </w:r>
      <w:r w:rsidRPr="00E35810">
        <w:rPr>
          <w:rFonts w:asciiTheme="minorHAnsi" w:hAnsiTheme="minorHAnsi" w:cstheme="minorHAnsi"/>
        </w:rPr>
        <w:t xml:space="preserve">OECD </w:t>
      </w:r>
      <w:r w:rsidRPr="00E35810">
        <w:rPr>
          <w:rFonts w:asciiTheme="minorHAnsi" w:hAnsiTheme="minorHAnsi" w:cstheme="minorHAnsi"/>
          <w:i/>
          <w:iCs/>
        </w:rPr>
        <w:t>Recommendation of the Council on Co</w:t>
      </w:r>
      <w:r w:rsidR="00351D3E" w:rsidRPr="00E35810">
        <w:rPr>
          <w:rFonts w:asciiTheme="minorHAnsi" w:hAnsiTheme="minorHAnsi" w:cstheme="minorHAnsi"/>
          <w:i/>
          <w:iCs/>
        </w:rPr>
        <w:t>mpetition Assessment</w:t>
      </w:r>
      <w:r w:rsidR="00B3072B" w:rsidRPr="00E35810">
        <w:rPr>
          <w:rFonts w:asciiTheme="minorHAnsi" w:hAnsiTheme="minorHAnsi" w:cstheme="minorHAnsi"/>
        </w:rPr>
        <w:t xml:space="preserve"> </w:t>
      </w:r>
      <w:r w:rsidR="00DC2C4C" w:rsidRPr="00E35810">
        <w:rPr>
          <w:rFonts w:asciiTheme="minorHAnsi" w:hAnsiTheme="minorHAnsi" w:cstheme="minorHAnsi"/>
        </w:rPr>
        <w:t>(</w:t>
      </w:r>
      <w:r w:rsidR="00B3072B" w:rsidRPr="00E35810">
        <w:rPr>
          <w:rFonts w:asciiTheme="minorHAnsi" w:hAnsiTheme="minorHAnsi" w:cstheme="minorHAnsi"/>
        </w:rPr>
        <w:t>OECD/LEGAL/0455</w:t>
      </w:r>
      <w:r w:rsidR="00DC2C4C" w:rsidRPr="00E35810">
        <w:rPr>
          <w:rFonts w:asciiTheme="minorHAnsi" w:hAnsiTheme="minorHAnsi" w:cstheme="minorHAnsi"/>
        </w:rPr>
        <w:t>, 2022)</w:t>
      </w:r>
      <w:r w:rsidR="008F00FE" w:rsidRPr="00E35810">
        <w:rPr>
          <w:rFonts w:asciiTheme="minorHAnsi" w:hAnsiTheme="minorHAnsi" w:cstheme="minorHAnsi"/>
        </w:rPr>
        <w:t>.</w:t>
      </w:r>
    </w:p>
  </w:footnote>
  <w:footnote w:id="8">
    <w:p w14:paraId="4FEA25C5" w14:textId="783CDA5D" w:rsidR="00CF3478" w:rsidRPr="00E35810" w:rsidRDefault="00CF3478"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9045A8" w:rsidRPr="00E35810">
        <w:rPr>
          <w:rFonts w:asciiTheme="minorHAnsi" w:hAnsiTheme="minorHAnsi" w:cstheme="minorHAnsi"/>
        </w:rPr>
        <w:tab/>
      </w:r>
      <w:r w:rsidR="001C1874" w:rsidRPr="00E35810">
        <w:rPr>
          <w:rFonts w:asciiTheme="minorHAnsi" w:hAnsiTheme="minorHAnsi" w:cstheme="minorHAnsi"/>
        </w:rPr>
        <w:t>Ian Eagles and Louise Longdin “</w:t>
      </w:r>
      <w:r w:rsidRPr="00E35810">
        <w:rPr>
          <w:rFonts w:asciiTheme="minorHAnsi" w:hAnsiTheme="minorHAnsi" w:cstheme="minorHAnsi"/>
        </w:rPr>
        <w:t xml:space="preserve">Subjecting </w:t>
      </w:r>
      <w:r w:rsidR="001C1874" w:rsidRPr="00E35810">
        <w:rPr>
          <w:rFonts w:asciiTheme="minorHAnsi" w:hAnsiTheme="minorHAnsi" w:cstheme="minorHAnsi"/>
        </w:rPr>
        <w:t>C</w:t>
      </w:r>
      <w:r w:rsidRPr="00E35810">
        <w:rPr>
          <w:rFonts w:asciiTheme="minorHAnsi" w:hAnsiTheme="minorHAnsi" w:cstheme="minorHAnsi"/>
        </w:rPr>
        <w:t xml:space="preserve">ompetition </w:t>
      </w:r>
      <w:r w:rsidR="001C1874" w:rsidRPr="00E35810">
        <w:rPr>
          <w:rFonts w:asciiTheme="minorHAnsi" w:hAnsiTheme="minorHAnsi" w:cstheme="minorHAnsi"/>
        </w:rPr>
        <w:t>L</w:t>
      </w:r>
      <w:r w:rsidRPr="00E35810">
        <w:rPr>
          <w:rFonts w:asciiTheme="minorHAnsi" w:hAnsiTheme="minorHAnsi" w:cstheme="minorHAnsi"/>
        </w:rPr>
        <w:t xml:space="preserve">aw </w:t>
      </w:r>
      <w:r w:rsidR="00DF5DEC" w:rsidRPr="00E35810">
        <w:rPr>
          <w:rFonts w:asciiTheme="minorHAnsi" w:hAnsiTheme="minorHAnsi" w:cstheme="minorHAnsi"/>
        </w:rPr>
        <w:t>E</w:t>
      </w:r>
      <w:r w:rsidRPr="00E35810">
        <w:rPr>
          <w:rFonts w:asciiTheme="minorHAnsi" w:hAnsiTheme="minorHAnsi" w:cstheme="minorHAnsi"/>
        </w:rPr>
        <w:t xml:space="preserve">xemptions to a </w:t>
      </w:r>
      <w:r w:rsidR="001C1874" w:rsidRPr="00E35810">
        <w:rPr>
          <w:rFonts w:asciiTheme="minorHAnsi" w:hAnsiTheme="minorHAnsi" w:cstheme="minorHAnsi"/>
        </w:rPr>
        <w:t>R</w:t>
      </w:r>
      <w:r w:rsidRPr="00E35810">
        <w:rPr>
          <w:rFonts w:asciiTheme="minorHAnsi" w:hAnsiTheme="minorHAnsi" w:cstheme="minorHAnsi"/>
        </w:rPr>
        <w:t xml:space="preserve">ule of </w:t>
      </w:r>
      <w:r w:rsidR="001C1874" w:rsidRPr="00E35810">
        <w:rPr>
          <w:rFonts w:asciiTheme="minorHAnsi" w:hAnsiTheme="minorHAnsi" w:cstheme="minorHAnsi"/>
        </w:rPr>
        <w:t>R</w:t>
      </w:r>
      <w:r w:rsidRPr="00E35810">
        <w:rPr>
          <w:rFonts w:asciiTheme="minorHAnsi" w:hAnsiTheme="minorHAnsi" w:cstheme="minorHAnsi"/>
        </w:rPr>
        <w:t xml:space="preserve">eason: New Zealand Courts </w:t>
      </w:r>
      <w:r w:rsidR="001C1874" w:rsidRPr="00E35810">
        <w:rPr>
          <w:rFonts w:asciiTheme="minorHAnsi" w:hAnsiTheme="minorHAnsi" w:cstheme="minorHAnsi"/>
        </w:rPr>
        <w:t>P</w:t>
      </w:r>
      <w:r w:rsidRPr="00E35810">
        <w:rPr>
          <w:rFonts w:asciiTheme="minorHAnsi" w:hAnsiTheme="minorHAnsi" w:cstheme="minorHAnsi"/>
        </w:rPr>
        <w:t xml:space="preserve">ush </w:t>
      </w:r>
      <w:r w:rsidR="00C039BB" w:rsidRPr="00E35810">
        <w:rPr>
          <w:rFonts w:asciiTheme="minorHAnsi" w:hAnsiTheme="minorHAnsi" w:cstheme="minorHAnsi"/>
        </w:rPr>
        <w:t>a</w:t>
      </w:r>
      <w:r w:rsidRPr="00E35810">
        <w:rPr>
          <w:rFonts w:asciiTheme="minorHAnsi" w:hAnsiTheme="minorHAnsi" w:cstheme="minorHAnsi"/>
        </w:rPr>
        <w:t xml:space="preserve">t </w:t>
      </w:r>
      <w:r w:rsidR="00C039BB" w:rsidRPr="00E35810">
        <w:rPr>
          <w:rFonts w:asciiTheme="minorHAnsi" w:hAnsiTheme="minorHAnsi" w:cstheme="minorHAnsi"/>
        </w:rPr>
        <w:t>t</w:t>
      </w:r>
      <w:r w:rsidRPr="00E35810">
        <w:rPr>
          <w:rFonts w:asciiTheme="minorHAnsi" w:hAnsiTheme="minorHAnsi" w:cstheme="minorHAnsi"/>
        </w:rPr>
        <w:t>he</w:t>
      </w:r>
      <w:r w:rsidR="00C039BB" w:rsidRPr="00E35810">
        <w:rPr>
          <w:rFonts w:asciiTheme="minorHAnsi" w:hAnsiTheme="minorHAnsi" w:cstheme="minorHAnsi"/>
        </w:rPr>
        <w:t xml:space="preserve"> </w:t>
      </w:r>
      <w:r w:rsidR="001C1874" w:rsidRPr="00E35810">
        <w:rPr>
          <w:rFonts w:asciiTheme="minorHAnsi" w:hAnsiTheme="minorHAnsi" w:cstheme="minorHAnsi"/>
        </w:rPr>
        <w:t>B</w:t>
      </w:r>
      <w:r w:rsidRPr="00E35810">
        <w:rPr>
          <w:rFonts w:asciiTheme="minorHAnsi" w:hAnsiTheme="minorHAnsi" w:cstheme="minorHAnsi"/>
        </w:rPr>
        <w:t xml:space="preserve">oundaries </w:t>
      </w:r>
      <w:r w:rsidR="00C039BB" w:rsidRPr="00E35810">
        <w:rPr>
          <w:rFonts w:asciiTheme="minorHAnsi" w:hAnsiTheme="minorHAnsi" w:cstheme="minorHAnsi"/>
        </w:rPr>
        <w:t>o</w:t>
      </w:r>
      <w:r w:rsidRPr="00E35810">
        <w:rPr>
          <w:rFonts w:asciiTheme="minorHAnsi" w:hAnsiTheme="minorHAnsi" w:cstheme="minorHAnsi"/>
        </w:rPr>
        <w:t xml:space="preserve">f </w:t>
      </w:r>
      <w:r w:rsidR="001C1874" w:rsidRPr="00E35810">
        <w:rPr>
          <w:rFonts w:asciiTheme="minorHAnsi" w:hAnsiTheme="minorHAnsi" w:cstheme="minorHAnsi"/>
        </w:rPr>
        <w:t>S</w:t>
      </w:r>
      <w:r w:rsidRPr="00E35810">
        <w:rPr>
          <w:rFonts w:asciiTheme="minorHAnsi" w:hAnsiTheme="minorHAnsi" w:cstheme="minorHAnsi"/>
        </w:rPr>
        <w:t xml:space="preserve">tatutory </w:t>
      </w:r>
      <w:r w:rsidR="001C1874" w:rsidRPr="00E35810">
        <w:rPr>
          <w:rFonts w:asciiTheme="minorHAnsi" w:hAnsiTheme="minorHAnsi" w:cstheme="minorHAnsi"/>
        </w:rPr>
        <w:t>I</w:t>
      </w:r>
      <w:r w:rsidRPr="00E35810">
        <w:rPr>
          <w:rFonts w:asciiTheme="minorHAnsi" w:hAnsiTheme="minorHAnsi" w:cstheme="minorHAnsi"/>
        </w:rPr>
        <w:t>nterpretation</w:t>
      </w:r>
      <w:r w:rsidR="001C1874" w:rsidRPr="00E35810">
        <w:rPr>
          <w:rFonts w:asciiTheme="minorHAnsi" w:hAnsiTheme="minorHAnsi" w:cstheme="minorHAnsi"/>
        </w:rPr>
        <w:t>”</w:t>
      </w:r>
      <w:r w:rsidRPr="00E35810">
        <w:rPr>
          <w:rFonts w:asciiTheme="minorHAnsi" w:hAnsiTheme="minorHAnsi" w:cstheme="minorHAnsi"/>
        </w:rPr>
        <w:t xml:space="preserve"> (2009) </w:t>
      </w:r>
      <w:r w:rsidR="001C1874" w:rsidRPr="00E35810">
        <w:rPr>
          <w:rFonts w:asciiTheme="minorHAnsi" w:hAnsiTheme="minorHAnsi" w:cstheme="minorHAnsi"/>
        </w:rPr>
        <w:t xml:space="preserve">32 </w:t>
      </w:r>
      <w:r w:rsidRPr="00E35810">
        <w:rPr>
          <w:rFonts w:asciiTheme="minorHAnsi" w:hAnsiTheme="minorHAnsi" w:cstheme="minorHAnsi"/>
        </w:rPr>
        <w:t>UNSWLJ 309.</w:t>
      </w:r>
    </w:p>
  </w:footnote>
  <w:footnote w:id="9">
    <w:p w14:paraId="62A02FBD" w14:textId="6A9F81BA" w:rsidR="002976C5" w:rsidRPr="00E35810" w:rsidRDefault="002976C5"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9045A8" w:rsidRPr="00E35810">
        <w:rPr>
          <w:rFonts w:asciiTheme="minorHAnsi" w:hAnsiTheme="minorHAnsi" w:cstheme="minorHAnsi"/>
        </w:rPr>
        <w:tab/>
      </w:r>
      <w:r w:rsidRPr="00E35810">
        <w:rPr>
          <w:rFonts w:asciiTheme="minorHAnsi" w:hAnsiTheme="minorHAnsi" w:cstheme="minorHAnsi"/>
        </w:rPr>
        <w:t xml:space="preserve">OECD </w:t>
      </w:r>
      <w:r w:rsidRPr="00E35810">
        <w:rPr>
          <w:rFonts w:asciiTheme="minorHAnsi" w:hAnsiTheme="minorHAnsi" w:cstheme="minorHAnsi"/>
          <w:i/>
          <w:iCs/>
        </w:rPr>
        <w:t>Recommendations of the Council on Competition Policy and Exempted or Regulated Sectors</w:t>
      </w:r>
      <w:r w:rsidRPr="00E35810">
        <w:rPr>
          <w:rFonts w:asciiTheme="minorHAnsi" w:hAnsiTheme="minorHAnsi" w:cstheme="minorHAnsi"/>
        </w:rPr>
        <w:t xml:space="preserve"> </w:t>
      </w:r>
      <w:r w:rsidR="00DC2C4C" w:rsidRPr="00E35810">
        <w:rPr>
          <w:rFonts w:asciiTheme="minorHAnsi" w:hAnsiTheme="minorHAnsi" w:cstheme="minorHAnsi"/>
        </w:rPr>
        <w:t>(</w:t>
      </w:r>
      <w:r w:rsidRPr="00E35810">
        <w:rPr>
          <w:rFonts w:asciiTheme="minorHAnsi" w:hAnsiTheme="minorHAnsi" w:cstheme="minorHAnsi"/>
        </w:rPr>
        <w:t>OECD/LEGAL/0181</w:t>
      </w:r>
      <w:r w:rsidR="00DC2C4C" w:rsidRPr="00E35810">
        <w:rPr>
          <w:rFonts w:asciiTheme="minorHAnsi" w:hAnsiTheme="minorHAnsi" w:cstheme="minorHAnsi"/>
        </w:rPr>
        <w:t>, 2022)</w:t>
      </w:r>
      <w:r w:rsidR="00B97D4D" w:rsidRPr="00E35810">
        <w:rPr>
          <w:rFonts w:asciiTheme="minorHAnsi" w:hAnsiTheme="minorHAnsi" w:cstheme="minorHAnsi"/>
        </w:rPr>
        <w:t>.</w:t>
      </w:r>
    </w:p>
  </w:footnote>
  <w:footnote w:id="10">
    <w:p w14:paraId="429EC66B" w14:textId="66B12836" w:rsidR="00FE1D48" w:rsidRPr="00E35810" w:rsidRDefault="00FE1D48"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9045A8" w:rsidRPr="00E35810">
        <w:rPr>
          <w:rFonts w:asciiTheme="minorHAnsi" w:hAnsiTheme="minorHAnsi" w:cstheme="minorHAnsi"/>
        </w:rPr>
        <w:tab/>
      </w:r>
      <w:r w:rsidR="00B71C78" w:rsidRPr="00E35810">
        <w:rPr>
          <w:rFonts w:asciiTheme="minorHAnsi" w:hAnsiTheme="minorHAnsi" w:cstheme="minorHAnsi"/>
        </w:rPr>
        <w:t xml:space="preserve">MBIE </w:t>
      </w:r>
      <w:r w:rsidR="000E4F28" w:rsidRPr="00E35810">
        <w:rPr>
          <w:rFonts w:asciiTheme="minorHAnsi" w:hAnsiTheme="minorHAnsi" w:cstheme="minorHAnsi"/>
          <w:i/>
          <w:iCs/>
        </w:rPr>
        <w:t xml:space="preserve">Discussion paper: </w:t>
      </w:r>
      <w:r w:rsidR="00B71C78" w:rsidRPr="00E35810">
        <w:rPr>
          <w:rFonts w:asciiTheme="minorHAnsi" w:hAnsiTheme="minorHAnsi" w:cstheme="minorHAnsi"/>
          <w:i/>
          <w:iCs/>
        </w:rPr>
        <w:t xml:space="preserve">Review of </w:t>
      </w:r>
      <w:r w:rsidR="00B80681" w:rsidRPr="00E35810">
        <w:rPr>
          <w:rFonts w:asciiTheme="minorHAnsi" w:hAnsiTheme="minorHAnsi" w:cstheme="minorHAnsi"/>
          <w:i/>
          <w:iCs/>
        </w:rPr>
        <w:t>S</w:t>
      </w:r>
      <w:r w:rsidR="00B71C78" w:rsidRPr="00E35810">
        <w:rPr>
          <w:rFonts w:asciiTheme="minorHAnsi" w:hAnsiTheme="minorHAnsi" w:cstheme="minorHAnsi"/>
          <w:i/>
          <w:iCs/>
        </w:rPr>
        <w:t>ection 36 of the Commerce Act and other matters</w:t>
      </w:r>
      <w:r w:rsidR="00250CD8" w:rsidRPr="00E35810">
        <w:rPr>
          <w:rFonts w:asciiTheme="minorHAnsi" w:hAnsiTheme="minorHAnsi" w:cstheme="minorHAnsi"/>
        </w:rPr>
        <w:t xml:space="preserve"> (</w:t>
      </w:r>
      <w:r w:rsidR="00B71C78" w:rsidRPr="00E35810">
        <w:rPr>
          <w:rFonts w:asciiTheme="minorHAnsi" w:hAnsiTheme="minorHAnsi" w:cstheme="minorHAnsi"/>
        </w:rPr>
        <w:t>25 January 2019</w:t>
      </w:r>
      <w:r w:rsidR="00250CD8" w:rsidRPr="00E35810">
        <w:rPr>
          <w:rFonts w:asciiTheme="minorHAnsi" w:hAnsiTheme="minorHAnsi" w:cstheme="minorHAnsi"/>
        </w:rPr>
        <w:t>)</w:t>
      </w:r>
      <w:r w:rsidR="00685D5A" w:rsidRPr="00E35810">
        <w:rPr>
          <w:rFonts w:asciiTheme="minorHAnsi" w:hAnsiTheme="minorHAnsi" w:cstheme="minorHAnsi"/>
        </w:rPr>
        <w:t xml:space="preserve">, as implemented in the Commerce </w:t>
      </w:r>
      <w:r w:rsidR="00BF107F" w:rsidRPr="00E35810">
        <w:rPr>
          <w:rFonts w:asciiTheme="minorHAnsi" w:hAnsiTheme="minorHAnsi" w:cstheme="minorHAnsi"/>
        </w:rPr>
        <w:t xml:space="preserve">(Criminalisation of Cartels) </w:t>
      </w:r>
      <w:r w:rsidR="00685D5A" w:rsidRPr="00E35810">
        <w:rPr>
          <w:rFonts w:asciiTheme="minorHAnsi" w:hAnsiTheme="minorHAnsi" w:cstheme="minorHAnsi"/>
        </w:rPr>
        <w:t>Amendment Act 2019</w:t>
      </w:r>
      <w:r w:rsidR="00DC2C4C" w:rsidRPr="00E35810">
        <w:rPr>
          <w:rFonts w:asciiTheme="minorHAnsi" w:hAnsiTheme="minorHAnsi" w:cstheme="minorHAnsi"/>
        </w:rPr>
        <w:t>;</w:t>
      </w:r>
      <w:r w:rsidR="00685D5A" w:rsidRPr="00E35810">
        <w:rPr>
          <w:rFonts w:asciiTheme="minorHAnsi" w:hAnsiTheme="minorHAnsi" w:cstheme="minorHAnsi"/>
        </w:rPr>
        <w:t xml:space="preserve"> and </w:t>
      </w:r>
      <w:r w:rsidR="008B194A" w:rsidRPr="00E35810">
        <w:rPr>
          <w:rFonts w:asciiTheme="minorHAnsi" w:hAnsiTheme="minorHAnsi" w:cstheme="minorHAnsi"/>
        </w:rPr>
        <w:t>Cabinet Ec</w:t>
      </w:r>
      <w:r w:rsidR="00457FC8" w:rsidRPr="00E35810">
        <w:rPr>
          <w:rFonts w:asciiTheme="minorHAnsi" w:hAnsiTheme="minorHAnsi" w:cstheme="minorHAnsi"/>
        </w:rPr>
        <w:t xml:space="preserve">onomic Growth and </w:t>
      </w:r>
      <w:r w:rsidR="00B52C07" w:rsidRPr="00E35810">
        <w:rPr>
          <w:rFonts w:asciiTheme="minorHAnsi" w:hAnsiTheme="minorHAnsi" w:cstheme="minorHAnsi"/>
        </w:rPr>
        <w:t>Infrastructure</w:t>
      </w:r>
      <w:r w:rsidR="00457FC8" w:rsidRPr="00E35810">
        <w:rPr>
          <w:rFonts w:asciiTheme="minorHAnsi" w:hAnsiTheme="minorHAnsi" w:cstheme="minorHAnsi"/>
        </w:rPr>
        <w:t xml:space="preserve"> </w:t>
      </w:r>
      <w:r w:rsidR="00B52C07" w:rsidRPr="00E35810">
        <w:rPr>
          <w:rFonts w:asciiTheme="minorHAnsi" w:hAnsiTheme="minorHAnsi" w:cstheme="minorHAnsi"/>
        </w:rPr>
        <w:t xml:space="preserve">Committee </w:t>
      </w:r>
      <w:r w:rsidR="003B3C76" w:rsidRPr="00E35810">
        <w:rPr>
          <w:rFonts w:asciiTheme="minorHAnsi" w:hAnsiTheme="minorHAnsi" w:cstheme="minorHAnsi"/>
        </w:rPr>
        <w:t>“</w:t>
      </w:r>
      <w:r w:rsidR="00E24E0A" w:rsidRPr="00E35810">
        <w:rPr>
          <w:rFonts w:asciiTheme="minorHAnsi" w:hAnsiTheme="minorHAnsi" w:cstheme="minorHAnsi"/>
        </w:rPr>
        <w:t>Response to New Zealand Productivity Commission’s</w:t>
      </w:r>
      <w:r w:rsidR="009E6E72" w:rsidRPr="00E35810">
        <w:rPr>
          <w:rFonts w:asciiTheme="minorHAnsi" w:hAnsiTheme="minorHAnsi" w:cstheme="minorHAnsi"/>
        </w:rPr>
        <w:t xml:space="preserve"> Freight Inquiry: </w:t>
      </w:r>
      <w:r w:rsidR="001B6C9E" w:rsidRPr="00E35810">
        <w:rPr>
          <w:rFonts w:asciiTheme="minorHAnsi" w:hAnsiTheme="minorHAnsi" w:cstheme="minorHAnsi"/>
        </w:rPr>
        <w:t>R</w:t>
      </w:r>
      <w:r w:rsidR="009E6E72" w:rsidRPr="00E35810">
        <w:rPr>
          <w:rFonts w:asciiTheme="minorHAnsi" w:hAnsiTheme="minorHAnsi" w:cstheme="minorHAnsi"/>
        </w:rPr>
        <w:t xml:space="preserve">egulation of </w:t>
      </w:r>
      <w:r w:rsidR="001B6C9E" w:rsidRPr="00E35810">
        <w:rPr>
          <w:rFonts w:asciiTheme="minorHAnsi" w:hAnsiTheme="minorHAnsi" w:cstheme="minorHAnsi"/>
        </w:rPr>
        <w:t>I</w:t>
      </w:r>
      <w:r w:rsidR="009E6E72" w:rsidRPr="00E35810">
        <w:rPr>
          <w:rFonts w:asciiTheme="minorHAnsi" w:hAnsiTheme="minorHAnsi" w:cstheme="minorHAnsi"/>
        </w:rPr>
        <w:t xml:space="preserve">nternational </w:t>
      </w:r>
      <w:r w:rsidR="001B6C9E" w:rsidRPr="00E35810">
        <w:rPr>
          <w:rFonts w:asciiTheme="minorHAnsi" w:hAnsiTheme="minorHAnsi" w:cstheme="minorHAnsi"/>
        </w:rPr>
        <w:t>S</w:t>
      </w:r>
      <w:r w:rsidR="009E6E72" w:rsidRPr="00E35810">
        <w:rPr>
          <w:rFonts w:asciiTheme="minorHAnsi" w:hAnsiTheme="minorHAnsi" w:cstheme="minorHAnsi"/>
        </w:rPr>
        <w:t xml:space="preserve">ea and </w:t>
      </w:r>
      <w:r w:rsidR="00E325CD" w:rsidRPr="00E35810">
        <w:rPr>
          <w:rFonts w:asciiTheme="minorHAnsi" w:hAnsiTheme="minorHAnsi" w:cstheme="minorHAnsi"/>
        </w:rPr>
        <w:t>A</w:t>
      </w:r>
      <w:r w:rsidR="009E6E72" w:rsidRPr="00E35810">
        <w:rPr>
          <w:rFonts w:asciiTheme="minorHAnsi" w:hAnsiTheme="minorHAnsi" w:cstheme="minorHAnsi"/>
        </w:rPr>
        <w:t xml:space="preserve">ir </w:t>
      </w:r>
      <w:r w:rsidR="00E325CD" w:rsidRPr="00E35810">
        <w:rPr>
          <w:rFonts w:asciiTheme="minorHAnsi" w:hAnsiTheme="minorHAnsi" w:cstheme="minorHAnsi"/>
        </w:rPr>
        <w:t>F</w:t>
      </w:r>
      <w:r w:rsidR="009E6E72" w:rsidRPr="00E35810">
        <w:rPr>
          <w:rFonts w:asciiTheme="minorHAnsi" w:hAnsiTheme="minorHAnsi" w:cstheme="minorHAnsi"/>
        </w:rPr>
        <w:t xml:space="preserve">reight </w:t>
      </w:r>
      <w:r w:rsidR="00E325CD" w:rsidRPr="00E35810">
        <w:rPr>
          <w:rFonts w:asciiTheme="minorHAnsi" w:hAnsiTheme="minorHAnsi" w:cstheme="minorHAnsi"/>
        </w:rPr>
        <w:t>Competition</w:t>
      </w:r>
      <w:r w:rsidR="00DE34FF" w:rsidRPr="00E35810">
        <w:rPr>
          <w:rFonts w:asciiTheme="minorHAnsi" w:hAnsiTheme="minorHAnsi" w:cstheme="minorHAnsi"/>
        </w:rPr>
        <w:t>”</w:t>
      </w:r>
      <w:r w:rsidR="00E325CD" w:rsidRPr="00E35810">
        <w:rPr>
          <w:rFonts w:asciiTheme="minorHAnsi" w:hAnsiTheme="minorHAnsi" w:cstheme="minorHAnsi"/>
        </w:rPr>
        <w:t xml:space="preserve"> </w:t>
      </w:r>
      <w:r w:rsidR="00250CD8" w:rsidRPr="00E35810">
        <w:rPr>
          <w:rFonts w:asciiTheme="minorHAnsi" w:hAnsiTheme="minorHAnsi" w:cstheme="minorHAnsi"/>
        </w:rPr>
        <w:t>(</w:t>
      </w:r>
      <w:r w:rsidR="003E78D4" w:rsidRPr="00E35810">
        <w:rPr>
          <w:rFonts w:asciiTheme="minorHAnsi" w:hAnsiTheme="minorHAnsi" w:cstheme="minorHAnsi"/>
        </w:rPr>
        <w:t>25 March 2013</w:t>
      </w:r>
      <w:r w:rsidR="00250CD8" w:rsidRPr="00E35810">
        <w:rPr>
          <w:rFonts w:asciiTheme="minorHAnsi" w:hAnsiTheme="minorHAnsi" w:cstheme="minorHAnsi"/>
        </w:rPr>
        <w:t>)</w:t>
      </w:r>
      <w:r w:rsidR="00432193" w:rsidRPr="00E35810">
        <w:rPr>
          <w:rFonts w:asciiTheme="minorHAnsi" w:hAnsiTheme="minorHAnsi" w:cstheme="minorHAnsi"/>
        </w:rPr>
        <w:t xml:space="preserve"> EGI (13) 44</w:t>
      </w:r>
      <w:r w:rsidR="003E78D4" w:rsidRPr="00E35810">
        <w:rPr>
          <w:rFonts w:asciiTheme="minorHAnsi" w:hAnsiTheme="minorHAnsi" w:cstheme="minorHAnsi"/>
        </w:rPr>
        <w:t>.</w:t>
      </w:r>
    </w:p>
  </w:footnote>
  <w:footnote w:id="11">
    <w:p w14:paraId="4F732590" w14:textId="67125263" w:rsidR="0022610A" w:rsidRPr="00E35810" w:rsidRDefault="0022610A"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C07F43" w:rsidRPr="00E35810">
        <w:rPr>
          <w:rFonts w:asciiTheme="minorHAnsi" w:hAnsiTheme="minorHAnsi" w:cstheme="minorHAnsi"/>
        </w:rPr>
        <w:tab/>
      </w:r>
      <w:r w:rsidRPr="00E35810">
        <w:rPr>
          <w:rFonts w:asciiTheme="minorHAnsi" w:hAnsiTheme="minorHAnsi" w:cstheme="minorHAnsi"/>
        </w:rPr>
        <w:t>See</w:t>
      </w:r>
      <w:r w:rsidR="00082B97" w:rsidRPr="00E35810">
        <w:rPr>
          <w:rFonts w:asciiTheme="minorHAnsi" w:hAnsiTheme="minorHAnsi" w:cstheme="minorHAnsi"/>
        </w:rPr>
        <w:t>, for example, Competition and Consumer Act 2010 (Cth)</w:t>
      </w:r>
      <w:r w:rsidR="006A38B0" w:rsidRPr="00E35810">
        <w:rPr>
          <w:rFonts w:asciiTheme="minorHAnsi" w:hAnsiTheme="minorHAnsi" w:cstheme="minorHAnsi"/>
        </w:rPr>
        <w:t>, s 2</w:t>
      </w:r>
      <w:r w:rsidR="006450FB" w:rsidRPr="00E35810">
        <w:rPr>
          <w:rFonts w:asciiTheme="minorHAnsi" w:hAnsiTheme="minorHAnsi" w:cstheme="minorHAnsi"/>
        </w:rPr>
        <w:t>A</w:t>
      </w:r>
      <w:r w:rsidR="006A38B0" w:rsidRPr="00E35810">
        <w:rPr>
          <w:rFonts w:asciiTheme="minorHAnsi" w:hAnsiTheme="minorHAnsi" w:cstheme="minorHAnsi"/>
        </w:rPr>
        <w:t xml:space="preserve">; </w:t>
      </w:r>
      <w:r w:rsidR="00A703F7" w:rsidRPr="00E35810">
        <w:rPr>
          <w:rFonts w:asciiTheme="minorHAnsi" w:hAnsiTheme="minorHAnsi" w:cstheme="minorHAnsi"/>
        </w:rPr>
        <w:t>Competition Act</w:t>
      </w:r>
      <w:r w:rsidR="001112A6" w:rsidRPr="00E35810">
        <w:rPr>
          <w:rFonts w:asciiTheme="minorHAnsi" w:hAnsiTheme="minorHAnsi" w:cstheme="minorHAnsi"/>
        </w:rPr>
        <w:t xml:space="preserve"> </w:t>
      </w:r>
      <w:r w:rsidR="009A0523" w:rsidRPr="00E35810">
        <w:rPr>
          <w:rFonts w:asciiTheme="minorHAnsi" w:hAnsiTheme="minorHAnsi" w:cstheme="minorHAnsi"/>
        </w:rPr>
        <w:t>RSC</w:t>
      </w:r>
      <w:r w:rsidR="0076308E" w:rsidRPr="00E35810">
        <w:rPr>
          <w:rFonts w:asciiTheme="minorHAnsi" w:hAnsiTheme="minorHAnsi" w:cstheme="minorHAnsi"/>
        </w:rPr>
        <w:t xml:space="preserve"> 1985 c C-34</w:t>
      </w:r>
      <w:r w:rsidR="005B20BE" w:rsidRPr="00E35810">
        <w:rPr>
          <w:rFonts w:asciiTheme="minorHAnsi" w:hAnsiTheme="minorHAnsi" w:cstheme="minorHAnsi"/>
        </w:rPr>
        <w:t>,</w:t>
      </w:r>
      <w:r w:rsidR="006A38B0" w:rsidRPr="00E35810">
        <w:rPr>
          <w:rFonts w:asciiTheme="minorHAnsi" w:hAnsiTheme="minorHAnsi" w:cstheme="minorHAnsi"/>
        </w:rPr>
        <w:t xml:space="preserve"> s 2.1;</w:t>
      </w:r>
      <w:r w:rsidR="005B20BE" w:rsidRPr="00E35810">
        <w:rPr>
          <w:rFonts w:asciiTheme="minorHAnsi" w:hAnsiTheme="minorHAnsi" w:cstheme="minorHAnsi"/>
        </w:rPr>
        <w:t xml:space="preserve"> Competition Act 1998</w:t>
      </w:r>
      <w:r w:rsidR="008F00FE" w:rsidRPr="00E35810">
        <w:rPr>
          <w:rFonts w:asciiTheme="minorHAnsi" w:hAnsiTheme="minorHAnsi" w:cstheme="minorHAnsi"/>
        </w:rPr>
        <w:t xml:space="preserve"> (UK),</w:t>
      </w:r>
      <w:r w:rsidR="00082B97" w:rsidRPr="00E35810">
        <w:rPr>
          <w:rFonts w:asciiTheme="minorHAnsi" w:hAnsiTheme="minorHAnsi" w:cstheme="minorHAnsi"/>
        </w:rPr>
        <w:t xml:space="preserve"> </w:t>
      </w:r>
      <w:r w:rsidR="006A38B0" w:rsidRPr="00E35810">
        <w:rPr>
          <w:rFonts w:asciiTheme="minorHAnsi" w:hAnsiTheme="minorHAnsi" w:cstheme="minorHAnsi"/>
        </w:rPr>
        <w:t xml:space="preserve">s 73(1); </w:t>
      </w:r>
      <w:r w:rsidR="00082B97" w:rsidRPr="00E35810">
        <w:rPr>
          <w:rFonts w:asciiTheme="minorHAnsi" w:hAnsiTheme="minorHAnsi" w:cstheme="minorHAnsi"/>
        </w:rPr>
        <w:t>and</w:t>
      </w:r>
      <w:r w:rsidRPr="00E35810">
        <w:rPr>
          <w:rFonts w:asciiTheme="minorHAnsi" w:hAnsiTheme="minorHAnsi" w:cstheme="minorHAnsi"/>
        </w:rPr>
        <w:t xml:space="preserve"> </w:t>
      </w:r>
      <w:r w:rsidRPr="00E35810">
        <w:rPr>
          <w:rFonts w:asciiTheme="minorHAnsi" w:hAnsiTheme="minorHAnsi" w:cstheme="minorHAnsi"/>
          <w:i/>
          <w:iCs/>
        </w:rPr>
        <w:t>United States Postal Service v Flamingo Industries</w:t>
      </w:r>
      <w:r w:rsidRPr="00E35810">
        <w:rPr>
          <w:rFonts w:asciiTheme="minorHAnsi" w:hAnsiTheme="minorHAnsi" w:cstheme="minorHAnsi"/>
        </w:rPr>
        <w:t xml:space="preserve"> </w:t>
      </w:r>
      <w:r w:rsidRPr="00E35810">
        <w:rPr>
          <w:rFonts w:asciiTheme="minorHAnsi" w:hAnsiTheme="minorHAnsi" w:cstheme="minorHAnsi"/>
          <w:i/>
          <w:iCs/>
        </w:rPr>
        <w:t>(USA) Ltd</w:t>
      </w:r>
      <w:r w:rsidRPr="00E35810">
        <w:rPr>
          <w:rFonts w:asciiTheme="minorHAnsi" w:hAnsiTheme="minorHAnsi" w:cstheme="minorHAnsi"/>
        </w:rPr>
        <w:t xml:space="preserve"> 540 US 736 (2004)</w:t>
      </w:r>
      <w:r w:rsidR="00F25A7F" w:rsidRPr="00E35810">
        <w:rPr>
          <w:rFonts w:asciiTheme="minorHAnsi" w:hAnsiTheme="minorHAnsi" w:cstheme="minorHAnsi"/>
        </w:rPr>
        <w:t xml:space="preserve"> at </w:t>
      </w:r>
      <w:r w:rsidR="000C0CE0" w:rsidRPr="00E35810">
        <w:rPr>
          <w:rFonts w:asciiTheme="minorHAnsi" w:hAnsiTheme="minorHAnsi" w:cstheme="minorHAnsi"/>
        </w:rPr>
        <w:t>[</w:t>
      </w:r>
      <w:r w:rsidR="004B5C89" w:rsidRPr="00E35810">
        <w:rPr>
          <w:rFonts w:asciiTheme="minorHAnsi" w:hAnsiTheme="minorHAnsi" w:cstheme="minorHAnsi"/>
        </w:rPr>
        <w:t>4</w:t>
      </w:r>
      <w:r w:rsidR="000C0CE0" w:rsidRPr="00E35810">
        <w:rPr>
          <w:rFonts w:asciiTheme="minorHAnsi" w:hAnsiTheme="minorHAnsi" w:cstheme="minorHAnsi"/>
        </w:rPr>
        <w:t>]</w:t>
      </w:r>
      <w:r w:rsidRPr="00E35810">
        <w:rPr>
          <w:rFonts w:asciiTheme="minorHAnsi" w:hAnsiTheme="minorHAnsi" w:cstheme="minorHAnsi"/>
        </w:rPr>
        <w:t xml:space="preserve">, approving </w:t>
      </w:r>
      <w:r w:rsidRPr="00E35810">
        <w:rPr>
          <w:rFonts w:asciiTheme="minorHAnsi" w:hAnsiTheme="minorHAnsi" w:cstheme="minorHAnsi"/>
          <w:i/>
          <w:iCs/>
        </w:rPr>
        <w:t>Sea-Land Service In</w:t>
      </w:r>
      <w:r w:rsidR="00F42128" w:rsidRPr="00E35810">
        <w:rPr>
          <w:rFonts w:asciiTheme="minorHAnsi" w:hAnsiTheme="minorHAnsi" w:cstheme="minorHAnsi"/>
          <w:i/>
          <w:iCs/>
        </w:rPr>
        <w:t>c</w:t>
      </w:r>
      <w:r w:rsidRPr="00E35810">
        <w:rPr>
          <w:rFonts w:asciiTheme="minorHAnsi" w:hAnsiTheme="minorHAnsi" w:cstheme="minorHAnsi"/>
          <w:i/>
          <w:iCs/>
        </w:rPr>
        <w:t xml:space="preserve"> v Alaska R</w:t>
      </w:r>
      <w:r w:rsidR="00581253" w:rsidRPr="00E35810">
        <w:rPr>
          <w:rFonts w:asciiTheme="minorHAnsi" w:hAnsiTheme="minorHAnsi" w:cstheme="minorHAnsi"/>
          <w:i/>
          <w:iCs/>
        </w:rPr>
        <w:t>ailroad</w:t>
      </w:r>
      <w:r w:rsidR="00112C20" w:rsidRPr="00E35810">
        <w:rPr>
          <w:rFonts w:asciiTheme="minorHAnsi" w:hAnsiTheme="minorHAnsi" w:cstheme="minorHAnsi"/>
          <w:i/>
          <w:iCs/>
        </w:rPr>
        <w:t xml:space="preserve"> </w:t>
      </w:r>
      <w:r w:rsidRPr="00E35810">
        <w:rPr>
          <w:rFonts w:asciiTheme="minorHAnsi" w:hAnsiTheme="minorHAnsi" w:cstheme="minorHAnsi"/>
        </w:rPr>
        <w:t>659 F</w:t>
      </w:r>
      <w:r w:rsidR="00F42128" w:rsidRPr="00E35810">
        <w:rPr>
          <w:rFonts w:asciiTheme="minorHAnsi" w:hAnsiTheme="minorHAnsi" w:cstheme="minorHAnsi"/>
        </w:rPr>
        <w:t xml:space="preserve"> </w:t>
      </w:r>
      <w:r w:rsidRPr="00E35810">
        <w:rPr>
          <w:rFonts w:asciiTheme="minorHAnsi" w:hAnsiTheme="minorHAnsi" w:cstheme="minorHAnsi"/>
        </w:rPr>
        <w:t>2d 243 (DC Cir</w:t>
      </w:r>
      <w:r w:rsidR="001112A6" w:rsidRPr="00E35810">
        <w:rPr>
          <w:rFonts w:asciiTheme="minorHAnsi" w:hAnsiTheme="minorHAnsi" w:cstheme="minorHAnsi"/>
        </w:rPr>
        <w:t xml:space="preserve"> </w:t>
      </w:r>
      <w:r w:rsidRPr="00E35810">
        <w:rPr>
          <w:rFonts w:asciiTheme="minorHAnsi" w:hAnsiTheme="minorHAnsi" w:cstheme="minorHAnsi"/>
        </w:rPr>
        <w:t xml:space="preserve">1981) and citing </w:t>
      </w:r>
      <w:r w:rsidRPr="00E35810">
        <w:rPr>
          <w:rFonts w:asciiTheme="minorHAnsi" w:hAnsiTheme="minorHAnsi" w:cstheme="minorHAnsi"/>
          <w:i/>
          <w:iCs/>
        </w:rPr>
        <w:t xml:space="preserve">United States </w:t>
      </w:r>
      <w:r w:rsidR="00DE5398" w:rsidRPr="00E35810">
        <w:rPr>
          <w:rFonts w:asciiTheme="minorHAnsi" w:hAnsiTheme="minorHAnsi" w:cstheme="minorHAnsi"/>
          <w:i/>
          <w:iCs/>
        </w:rPr>
        <w:t>v</w:t>
      </w:r>
      <w:r w:rsidRPr="00E35810">
        <w:rPr>
          <w:rFonts w:asciiTheme="minorHAnsi" w:hAnsiTheme="minorHAnsi" w:cstheme="minorHAnsi"/>
          <w:i/>
          <w:iCs/>
        </w:rPr>
        <w:t xml:space="preserve"> Cooper Corp</w:t>
      </w:r>
      <w:r w:rsidRPr="00E35810">
        <w:rPr>
          <w:rFonts w:asciiTheme="minorHAnsi" w:hAnsiTheme="minorHAnsi" w:cstheme="minorHAnsi"/>
        </w:rPr>
        <w:t xml:space="preserve"> 312 US 600 (1941).</w:t>
      </w:r>
    </w:p>
  </w:footnote>
  <w:footnote w:id="12">
    <w:p w14:paraId="6F9A7E57" w14:textId="44EFA111" w:rsidR="004A31AF" w:rsidRPr="00E35810" w:rsidRDefault="004A31AF"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Style w:val="FootnoteReference"/>
          <w:rFonts w:asciiTheme="minorHAnsi" w:hAnsiTheme="minorHAnsi" w:cstheme="minorHAnsi"/>
          <w:vertAlign w:val="baseline"/>
        </w:rPr>
        <w:t xml:space="preserve"> </w:t>
      </w:r>
      <w:r w:rsidRPr="00E35810">
        <w:rPr>
          <w:rFonts w:asciiTheme="minorHAnsi" w:hAnsiTheme="minorHAnsi" w:cstheme="minorHAnsi"/>
        </w:rPr>
        <w:tab/>
      </w:r>
      <w:r w:rsidR="008A1EBC" w:rsidRPr="00E35810">
        <w:rPr>
          <w:rFonts w:asciiTheme="minorHAnsi" w:hAnsiTheme="minorHAnsi" w:cstheme="minorHAnsi"/>
        </w:rPr>
        <w:t>This is not t</w:t>
      </w:r>
      <w:r w:rsidR="00481196" w:rsidRPr="00E35810">
        <w:rPr>
          <w:rFonts w:asciiTheme="minorHAnsi" w:hAnsiTheme="minorHAnsi" w:cstheme="minorHAnsi"/>
        </w:rPr>
        <w:t xml:space="preserve">o suggest that government involvement must lessen competition. </w:t>
      </w:r>
      <w:r w:rsidR="00122E3E" w:rsidRPr="00E35810">
        <w:rPr>
          <w:rFonts w:asciiTheme="minorHAnsi" w:hAnsiTheme="minorHAnsi" w:cstheme="minorHAnsi"/>
        </w:rPr>
        <w:t xml:space="preserve">In smaller economies, </w:t>
      </w:r>
      <w:r w:rsidR="00481196" w:rsidRPr="00E35810">
        <w:rPr>
          <w:rFonts w:asciiTheme="minorHAnsi" w:hAnsiTheme="minorHAnsi" w:cstheme="minorHAnsi"/>
        </w:rPr>
        <w:t>g</w:t>
      </w:r>
      <w:r w:rsidR="00E96C11" w:rsidRPr="00E35810">
        <w:rPr>
          <w:rFonts w:asciiTheme="minorHAnsi" w:hAnsiTheme="minorHAnsi" w:cstheme="minorHAnsi"/>
        </w:rPr>
        <w:t xml:space="preserve">overnment may have a </w:t>
      </w:r>
      <w:r w:rsidR="00122E3E" w:rsidRPr="00E35810">
        <w:rPr>
          <w:rFonts w:asciiTheme="minorHAnsi" w:hAnsiTheme="minorHAnsi" w:cstheme="minorHAnsi"/>
        </w:rPr>
        <w:t xml:space="preserve">greater </w:t>
      </w:r>
      <w:r w:rsidR="00E96C11" w:rsidRPr="00E35810">
        <w:rPr>
          <w:rFonts w:asciiTheme="minorHAnsi" w:hAnsiTheme="minorHAnsi" w:cstheme="minorHAnsi"/>
        </w:rPr>
        <w:t xml:space="preserve">role in addressing market failure, </w:t>
      </w:r>
      <w:r w:rsidR="00A95ADB" w:rsidRPr="00E35810">
        <w:rPr>
          <w:rFonts w:asciiTheme="minorHAnsi" w:hAnsiTheme="minorHAnsi" w:cstheme="minorHAnsi"/>
        </w:rPr>
        <w:t xml:space="preserve">including by </w:t>
      </w:r>
      <w:r w:rsidR="00E96C11" w:rsidRPr="00E35810">
        <w:rPr>
          <w:rFonts w:asciiTheme="minorHAnsi" w:hAnsiTheme="minorHAnsi" w:cstheme="minorHAnsi"/>
        </w:rPr>
        <w:t>acting as a market maker or provider of last resort</w:t>
      </w:r>
      <w:r w:rsidR="002B2A81" w:rsidRPr="00E35810">
        <w:rPr>
          <w:rFonts w:asciiTheme="minorHAnsi" w:hAnsiTheme="minorHAnsi" w:cstheme="minorHAnsi"/>
        </w:rPr>
        <w:t>.</w:t>
      </w:r>
    </w:p>
  </w:footnote>
  <w:footnote w:id="13">
    <w:p w14:paraId="30673BEE" w14:textId="2FF31EC0" w:rsidR="00370E95" w:rsidRPr="00E35810" w:rsidRDefault="00370E95"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C07F43" w:rsidRPr="00E35810">
        <w:rPr>
          <w:rFonts w:asciiTheme="minorHAnsi" w:hAnsiTheme="minorHAnsi" w:cstheme="minorHAnsi"/>
        </w:rPr>
        <w:tab/>
      </w:r>
      <w:r w:rsidRPr="00E35810">
        <w:rPr>
          <w:rFonts w:asciiTheme="minorHAnsi" w:hAnsiTheme="minorHAnsi" w:cstheme="minorHAnsi"/>
        </w:rPr>
        <w:t>Certain conduct by consumers not in trade is, however, subject of its own exception: s</w:t>
      </w:r>
      <w:r w:rsidR="00C07F43" w:rsidRPr="00E35810">
        <w:rPr>
          <w:rFonts w:asciiTheme="minorHAnsi" w:hAnsiTheme="minorHAnsi" w:cstheme="minorHAnsi"/>
        </w:rPr>
        <w:t xml:space="preserve"> </w:t>
      </w:r>
      <w:r w:rsidRPr="00E35810">
        <w:rPr>
          <w:rFonts w:asciiTheme="minorHAnsi" w:hAnsiTheme="minorHAnsi" w:cstheme="minorHAnsi"/>
        </w:rPr>
        <w:t>44(1)(h). In addition, some of the prohibitions in the</w:t>
      </w:r>
      <w:r w:rsidR="00317CE7" w:rsidRPr="00E35810">
        <w:rPr>
          <w:rFonts w:asciiTheme="minorHAnsi" w:hAnsiTheme="minorHAnsi" w:cstheme="minorHAnsi"/>
        </w:rPr>
        <w:t xml:space="preserve"> Commerce</w:t>
      </w:r>
      <w:r w:rsidRPr="00E35810">
        <w:rPr>
          <w:rFonts w:asciiTheme="minorHAnsi" w:hAnsiTheme="minorHAnsi" w:cstheme="minorHAnsi"/>
        </w:rPr>
        <w:t xml:space="preserve"> Act contain elements that may in effect require that a person is in trade. Although any person may be party to an agreement that contains a cartel provisions, at least two parties to the agreement must be in competition with each other (as that term is defined) in relation to the goods or services to which the provision relates.</w:t>
      </w:r>
    </w:p>
  </w:footnote>
  <w:footnote w:id="14">
    <w:p w14:paraId="0372DFF9" w14:textId="1CEF884A" w:rsidR="00370E95" w:rsidRPr="00E35810" w:rsidRDefault="00370E95"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C07F43" w:rsidRPr="00E35810">
        <w:rPr>
          <w:rFonts w:asciiTheme="minorHAnsi" w:hAnsiTheme="minorHAnsi" w:cstheme="minorHAnsi"/>
        </w:rPr>
        <w:tab/>
      </w:r>
      <w:r w:rsidRPr="00E35810">
        <w:rPr>
          <w:rFonts w:asciiTheme="minorHAnsi" w:hAnsiTheme="minorHAnsi" w:cstheme="minorHAnsi"/>
        </w:rPr>
        <w:t>Commerce Act 1986</w:t>
      </w:r>
      <w:r w:rsidR="006A38B0" w:rsidRPr="00E35810">
        <w:rPr>
          <w:rFonts w:asciiTheme="minorHAnsi" w:hAnsiTheme="minorHAnsi" w:cstheme="minorHAnsi"/>
        </w:rPr>
        <w:t>, s 2</w:t>
      </w:r>
      <w:r w:rsidRPr="00E35810">
        <w:rPr>
          <w:rFonts w:asciiTheme="minorHAnsi" w:hAnsiTheme="minorHAnsi" w:cstheme="minorHAnsi"/>
        </w:rPr>
        <w:t>.</w:t>
      </w:r>
    </w:p>
  </w:footnote>
  <w:footnote w:id="15">
    <w:p w14:paraId="69070402" w14:textId="3802E1BE" w:rsidR="00370E95" w:rsidRPr="00E35810" w:rsidRDefault="00370E95"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C07F43" w:rsidRPr="00E35810">
        <w:rPr>
          <w:rFonts w:asciiTheme="minorHAnsi" w:hAnsiTheme="minorHAnsi" w:cstheme="minorHAnsi"/>
        </w:rPr>
        <w:tab/>
      </w:r>
      <w:r w:rsidRPr="00E35810">
        <w:rPr>
          <w:rFonts w:asciiTheme="minorHAnsi" w:hAnsiTheme="minorHAnsi" w:cstheme="minorHAnsi"/>
        </w:rPr>
        <w:t>Competition and Consumer Act 2010</w:t>
      </w:r>
      <w:r w:rsidR="006A38B0" w:rsidRPr="00E35810">
        <w:rPr>
          <w:rFonts w:asciiTheme="minorHAnsi" w:hAnsiTheme="minorHAnsi" w:cstheme="minorHAnsi"/>
        </w:rPr>
        <w:t xml:space="preserve"> (Cth), s </w:t>
      </w:r>
      <w:r w:rsidR="00955193" w:rsidRPr="00E35810">
        <w:rPr>
          <w:rFonts w:asciiTheme="minorHAnsi" w:hAnsiTheme="minorHAnsi" w:cstheme="minorHAnsi"/>
        </w:rPr>
        <w:t>2BA</w:t>
      </w:r>
      <w:r w:rsidRPr="00E35810">
        <w:rPr>
          <w:rFonts w:asciiTheme="minorHAnsi" w:hAnsiTheme="minorHAnsi" w:cstheme="minorHAnsi"/>
        </w:rPr>
        <w:t>.</w:t>
      </w:r>
    </w:p>
  </w:footnote>
  <w:footnote w:id="16">
    <w:p w14:paraId="070E4FCB" w14:textId="55D7F3B1" w:rsidR="00370E95" w:rsidRPr="00E35810" w:rsidRDefault="00370E95"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C07F43" w:rsidRPr="00E35810">
        <w:rPr>
          <w:rFonts w:asciiTheme="minorHAnsi" w:hAnsiTheme="minorHAnsi" w:cstheme="minorHAnsi"/>
        </w:rPr>
        <w:tab/>
      </w:r>
      <w:r w:rsidR="00094ECF" w:rsidRPr="00E35810">
        <w:rPr>
          <w:rFonts w:asciiTheme="minorHAnsi" w:hAnsiTheme="minorHAnsi" w:cstheme="minorHAnsi"/>
          <w:i/>
          <w:iCs/>
        </w:rPr>
        <w:t xml:space="preserve">Re </w:t>
      </w:r>
      <w:r w:rsidRPr="00E35810">
        <w:rPr>
          <w:rFonts w:asciiTheme="minorHAnsi" w:hAnsiTheme="minorHAnsi" w:cstheme="minorHAnsi"/>
          <w:i/>
          <w:iCs/>
        </w:rPr>
        <w:t>Speedway Control Board of New Zealand (Inc)</w:t>
      </w:r>
      <w:r w:rsidRPr="00E35810">
        <w:rPr>
          <w:rFonts w:asciiTheme="minorHAnsi" w:hAnsiTheme="minorHAnsi" w:cstheme="minorHAnsi"/>
        </w:rPr>
        <w:t xml:space="preserve"> (1990) 2 NZBLC</w:t>
      </w:r>
      <w:r w:rsidR="00C07F43" w:rsidRPr="00E35810">
        <w:rPr>
          <w:rFonts w:asciiTheme="minorHAnsi" w:hAnsiTheme="minorHAnsi" w:cstheme="minorHAnsi"/>
        </w:rPr>
        <w:t xml:space="preserve"> </w:t>
      </w:r>
      <w:r w:rsidRPr="00E35810">
        <w:rPr>
          <w:rFonts w:asciiTheme="minorHAnsi" w:hAnsiTheme="minorHAnsi" w:cstheme="minorHAnsi"/>
        </w:rPr>
        <w:t>(Com) 104,521</w:t>
      </w:r>
      <w:r w:rsidR="00DE34FF" w:rsidRPr="00E35810">
        <w:rPr>
          <w:rFonts w:asciiTheme="minorHAnsi" w:hAnsiTheme="minorHAnsi" w:cstheme="minorHAnsi"/>
        </w:rPr>
        <w:t>;</w:t>
      </w:r>
      <w:r w:rsidRPr="00E35810">
        <w:rPr>
          <w:rFonts w:asciiTheme="minorHAnsi" w:hAnsiTheme="minorHAnsi" w:cstheme="minorHAnsi"/>
        </w:rPr>
        <w:t xml:space="preserve"> and </w:t>
      </w:r>
      <w:r w:rsidR="00094ECF" w:rsidRPr="00E35810">
        <w:rPr>
          <w:rFonts w:asciiTheme="minorHAnsi" w:hAnsiTheme="minorHAnsi" w:cstheme="minorHAnsi"/>
          <w:i/>
          <w:iCs/>
        </w:rPr>
        <w:t xml:space="preserve">Re </w:t>
      </w:r>
      <w:r w:rsidRPr="00E35810">
        <w:rPr>
          <w:rFonts w:asciiTheme="minorHAnsi" w:hAnsiTheme="minorHAnsi" w:cstheme="minorHAnsi"/>
          <w:i/>
          <w:iCs/>
        </w:rPr>
        <w:t>New Zealand Rugby Football Union Inc</w:t>
      </w:r>
      <w:r w:rsidR="00A50180" w:rsidRPr="00E35810">
        <w:rPr>
          <w:rFonts w:asciiTheme="minorHAnsi" w:hAnsiTheme="minorHAnsi" w:cstheme="minorHAnsi"/>
        </w:rPr>
        <w:t xml:space="preserve"> NZCC</w:t>
      </w:r>
      <w:r w:rsidRPr="00E35810">
        <w:rPr>
          <w:rFonts w:asciiTheme="minorHAnsi" w:hAnsiTheme="minorHAnsi" w:cstheme="minorHAnsi"/>
        </w:rPr>
        <w:t xml:space="preserve"> Decision No 580</w:t>
      </w:r>
      <w:r w:rsidR="000841A5" w:rsidRPr="00E35810">
        <w:rPr>
          <w:rFonts w:asciiTheme="minorHAnsi" w:hAnsiTheme="minorHAnsi" w:cstheme="minorHAnsi"/>
        </w:rPr>
        <w:t>,</w:t>
      </w:r>
      <w:r w:rsidR="00742A77" w:rsidRPr="00E35810">
        <w:rPr>
          <w:rFonts w:asciiTheme="minorHAnsi" w:hAnsiTheme="minorHAnsi" w:cstheme="minorHAnsi"/>
        </w:rPr>
        <w:t xml:space="preserve"> 2 June 2006.</w:t>
      </w:r>
    </w:p>
  </w:footnote>
  <w:footnote w:id="17">
    <w:p w14:paraId="4B17DE5C" w14:textId="7A7E3232" w:rsidR="00370E95" w:rsidRPr="00E35810" w:rsidRDefault="00370E95"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C07F43" w:rsidRPr="00E35810">
        <w:rPr>
          <w:rFonts w:asciiTheme="minorHAnsi" w:hAnsiTheme="minorHAnsi" w:cstheme="minorHAnsi"/>
        </w:rPr>
        <w:tab/>
      </w:r>
      <w:r w:rsidRPr="00E35810">
        <w:rPr>
          <w:rFonts w:asciiTheme="minorHAnsi" w:hAnsiTheme="minorHAnsi" w:cstheme="minorHAnsi"/>
          <w:i/>
          <w:iCs/>
        </w:rPr>
        <w:t>Commerce Commission v Ophthalmological Society of New Zealand Inc</w:t>
      </w:r>
      <w:r w:rsidRPr="00E35810">
        <w:rPr>
          <w:rFonts w:asciiTheme="minorHAnsi" w:hAnsiTheme="minorHAnsi" w:cstheme="minorHAnsi"/>
        </w:rPr>
        <w:t xml:space="preserve"> (2004) 10 TCLR 994 (HC).</w:t>
      </w:r>
    </w:p>
  </w:footnote>
  <w:footnote w:id="18">
    <w:p w14:paraId="197B8815" w14:textId="5FE48CCF" w:rsidR="00804107" w:rsidRPr="00E35810" w:rsidRDefault="00804107"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C07F43" w:rsidRPr="00E35810">
        <w:rPr>
          <w:rFonts w:asciiTheme="minorHAnsi" w:hAnsiTheme="minorHAnsi" w:cstheme="minorHAnsi"/>
        </w:rPr>
        <w:tab/>
      </w:r>
      <w:r w:rsidR="006E1C48" w:rsidRPr="00E35810">
        <w:rPr>
          <w:rFonts w:asciiTheme="minorHAnsi" w:hAnsiTheme="minorHAnsi" w:cstheme="minorHAnsi"/>
        </w:rPr>
        <w:t xml:space="preserve">(2 October 1979) </w:t>
      </w:r>
      <w:r w:rsidRPr="00E35810">
        <w:rPr>
          <w:rFonts w:asciiTheme="minorHAnsi" w:hAnsiTheme="minorHAnsi" w:cstheme="minorHAnsi"/>
        </w:rPr>
        <w:t>426 NZPD 3263.</w:t>
      </w:r>
    </w:p>
  </w:footnote>
  <w:footnote w:id="19">
    <w:p w14:paraId="66795DB7" w14:textId="5C3825F8" w:rsidR="001A18ED" w:rsidRPr="00E35810" w:rsidRDefault="001A18ED"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C07F43" w:rsidRPr="00E35810">
        <w:rPr>
          <w:rFonts w:asciiTheme="minorHAnsi" w:hAnsiTheme="minorHAnsi" w:cstheme="minorHAnsi"/>
        </w:rPr>
        <w:tab/>
      </w:r>
      <w:r w:rsidR="008E5416" w:rsidRPr="00E35810">
        <w:rPr>
          <w:rFonts w:asciiTheme="minorHAnsi" w:hAnsiTheme="minorHAnsi" w:cstheme="minorHAnsi"/>
        </w:rPr>
        <w:t xml:space="preserve">(9 November 1979) </w:t>
      </w:r>
      <w:r w:rsidR="0046111D" w:rsidRPr="00E35810">
        <w:rPr>
          <w:rFonts w:asciiTheme="minorHAnsi" w:hAnsiTheme="minorHAnsi" w:cstheme="minorHAnsi"/>
        </w:rPr>
        <w:t>427 NZPD 4217</w:t>
      </w:r>
      <w:r w:rsidR="00A339ED" w:rsidRPr="00E35810">
        <w:rPr>
          <w:rFonts w:asciiTheme="minorHAnsi" w:hAnsiTheme="minorHAnsi" w:cstheme="minorHAnsi"/>
        </w:rPr>
        <w:t>.</w:t>
      </w:r>
      <w:r w:rsidR="00BA19A6" w:rsidRPr="00E35810">
        <w:rPr>
          <w:rFonts w:asciiTheme="minorHAnsi" w:hAnsiTheme="minorHAnsi" w:cstheme="minorHAnsi"/>
        </w:rPr>
        <w:t xml:space="preserve"> </w:t>
      </w:r>
      <w:r w:rsidR="00E43865" w:rsidRPr="00E35810">
        <w:rPr>
          <w:rFonts w:asciiTheme="minorHAnsi" w:hAnsiTheme="minorHAnsi" w:cstheme="minorHAnsi"/>
        </w:rPr>
        <w:t xml:space="preserve">For the real competition trainspotters, </w:t>
      </w:r>
      <w:r w:rsidR="00BA19A6" w:rsidRPr="00E35810">
        <w:rPr>
          <w:rFonts w:asciiTheme="minorHAnsi" w:hAnsiTheme="minorHAnsi" w:cstheme="minorHAnsi"/>
        </w:rPr>
        <w:t xml:space="preserve">Dame </w:t>
      </w:r>
      <w:r w:rsidR="00E43865" w:rsidRPr="00E35810">
        <w:rPr>
          <w:rFonts w:asciiTheme="minorHAnsi" w:hAnsiTheme="minorHAnsi" w:cstheme="minorHAnsi"/>
        </w:rPr>
        <w:t xml:space="preserve">Ann </w:t>
      </w:r>
      <w:r w:rsidR="00BA19A6" w:rsidRPr="00E35810">
        <w:rPr>
          <w:rFonts w:asciiTheme="minorHAnsi" w:hAnsiTheme="minorHAnsi" w:cstheme="minorHAnsi"/>
        </w:rPr>
        <w:t xml:space="preserve">Hercus was </w:t>
      </w:r>
      <w:r w:rsidR="00E43865" w:rsidRPr="00E35810">
        <w:rPr>
          <w:rFonts w:asciiTheme="minorHAnsi" w:hAnsiTheme="minorHAnsi" w:cstheme="minorHAnsi"/>
        </w:rPr>
        <w:t>deputy chair of the Commerce Commission</w:t>
      </w:r>
      <w:r w:rsidR="007A5DF0" w:rsidRPr="00E35810">
        <w:rPr>
          <w:rFonts w:asciiTheme="minorHAnsi" w:hAnsiTheme="minorHAnsi" w:cstheme="minorHAnsi"/>
        </w:rPr>
        <w:t xml:space="preserve"> prior to her election to Parliament at the 1978 election.</w:t>
      </w:r>
    </w:p>
  </w:footnote>
  <w:footnote w:id="20">
    <w:p w14:paraId="1F0111E5" w14:textId="49AB33AD" w:rsidR="002F053E" w:rsidRPr="00E35810" w:rsidRDefault="002F053E"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C07F43" w:rsidRPr="00E35810">
        <w:rPr>
          <w:rFonts w:asciiTheme="minorHAnsi" w:hAnsiTheme="minorHAnsi" w:cstheme="minorHAnsi"/>
        </w:rPr>
        <w:tab/>
      </w:r>
      <w:r w:rsidRPr="00E35810">
        <w:rPr>
          <w:rFonts w:asciiTheme="minorHAnsi" w:hAnsiTheme="minorHAnsi" w:cstheme="minorHAnsi"/>
        </w:rPr>
        <w:t>Trade Practices Act 197</w:t>
      </w:r>
      <w:r w:rsidR="00E73BE3" w:rsidRPr="00E35810">
        <w:rPr>
          <w:rFonts w:asciiTheme="minorHAnsi" w:hAnsiTheme="minorHAnsi" w:cstheme="minorHAnsi"/>
        </w:rPr>
        <w:t>4</w:t>
      </w:r>
      <w:r w:rsidRPr="00E35810">
        <w:rPr>
          <w:rFonts w:asciiTheme="minorHAnsi" w:hAnsiTheme="minorHAnsi" w:cstheme="minorHAnsi"/>
        </w:rPr>
        <w:t>,</w:t>
      </w:r>
      <w:r w:rsidR="006A38B0" w:rsidRPr="00E35810">
        <w:rPr>
          <w:rFonts w:asciiTheme="minorHAnsi" w:hAnsiTheme="minorHAnsi" w:cstheme="minorHAnsi"/>
        </w:rPr>
        <w:t xml:space="preserve"> s 2A,</w:t>
      </w:r>
      <w:r w:rsidRPr="00E35810">
        <w:rPr>
          <w:rFonts w:asciiTheme="minorHAnsi" w:hAnsiTheme="minorHAnsi" w:cstheme="minorHAnsi"/>
        </w:rPr>
        <w:t xml:space="preserve"> inserted in 1977.</w:t>
      </w:r>
      <w:r w:rsidR="00582C55" w:rsidRPr="00E35810">
        <w:rPr>
          <w:rFonts w:asciiTheme="minorHAnsi" w:hAnsiTheme="minorHAnsi" w:cstheme="minorHAnsi"/>
        </w:rPr>
        <w:t xml:space="preserve"> See Trade Practices Act Review Committee </w:t>
      </w:r>
      <w:r w:rsidR="00582C55" w:rsidRPr="00E35810">
        <w:rPr>
          <w:rFonts w:asciiTheme="minorHAnsi" w:hAnsiTheme="minorHAnsi" w:cstheme="minorHAnsi"/>
          <w:i/>
          <w:iCs/>
        </w:rPr>
        <w:t xml:space="preserve">Report to </w:t>
      </w:r>
      <w:r w:rsidR="00B379AA" w:rsidRPr="00E35810">
        <w:rPr>
          <w:rFonts w:asciiTheme="minorHAnsi" w:hAnsiTheme="minorHAnsi" w:cstheme="minorHAnsi"/>
          <w:i/>
          <w:iCs/>
        </w:rPr>
        <w:t>T</w:t>
      </w:r>
      <w:r w:rsidR="00582C55" w:rsidRPr="00E35810">
        <w:rPr>
          <w:rFonts w:asciiTheme="minorHAnsi" w:hAnsiTheme="minorHAnsi" w:cstheme="minorHAnsi"/>
          <w:i/>
          <w:iCs/>
        </w:rPr>
        <w:t>he Minister for Business and Consumer Affairs</w:t>
      </w:r>
      <w:r w:rsidR="00582C55" w:rsidRPr="00E35810">
        <w:rPr>
          <w:rFonts w:asciiTheme="minorHAnsi" w:hAnsiTheme="minorHAnsi" w:cstheme="minorHAnsi"/>
        </w:rPr>
        <w:t xml:space="preserve"> (</w:t>
      </w:r>
      <w:r w:rsidR="00FF1DC5" w:rsidRPr="00E35810">
        <w:rPr>
          <w:rFonts w:asciiTheme="minorHAnsi" w:hAnsiTheme="minorHAnsi" w:cstheme="minorHAnsi"/>
        </w:rPr>
        <w:t xml:space="preserve">August </w:t>
      </w:r>
      <w:r w:rsidR="00582C55" w:rsidRPr="00E35810">
        <w:rPr>
          <w:rFonts w:asciiTheme="minorHAnsi" w:hAnsiTheme="minorHAnsi" w:cstheme="minorHAnsi"/>
        </w:rPr>
        <w:t>1976)</w:t>
      </w:r>
      <w:r w:rsidR="00F8713E" w:rsidRPr="00E35810">
        <w:rPr>
          <w:rFonts w:asciiTheme="minorHAnsi" w:hAnsiTheme="minorHAnsi" w:cstheme="minorHAnsi"/>
        </w:rPr>
        <w:t xml:space="preserve"> (the Swanson Report)</w:t>
      </w:r>
      <w:r w:rsidR="00582C55" w:rsidRPr="00E35810">
        <w:rPr>
          <w:rFonts w:asciiTheme="minorHAnsi" w:hAnsiTheme="minorHAnsi" w:cstheme="minorHAnsi"/>
        </w:rPr>
        <w:t>.</w:t>
      </w:r>
      <w:r w:rsidR="001112A6" w:rsidRPr="00E35810">
        <w:rPr>
          <w:rFonts w:asciiTheme="minorHAnsi" w:hAnsiTheme="minorHAnsi" w:cstheme="minorHAnsi"/>
        </w:rPr>
        <w:t xml:space="preserve"> </w:t>
      </w:r>
      <w:r w:rsidR="00582C55" w:rsidRPr="00E35810">
        <w:rPr>
          <w:rFonts w:asciiTheme="minorHAnsi" w:hAnsiTheme="minorHAnsi" w:cstheme="minorHAnsi"/>
        </w:rPr>
        <w:t xml:space="preserve">For </w:t>
      </w:r>
      <w:r w:rsidR="006C1D81" w:rsidRPr="00E35810">
        <w:rPr>
          <w:rFonts w:asciiTheme="minorHAnsi" w:hAnsiTheme="minorHAnsi" w:cstheme="minorHAnsi"/>
        </w:rPr>
        <w:t>more information on the development of the provision, see</w:t>
      </w:r>
      <w:r w:rsidR="007D52D2" w:rsidRPr="00E35810">
        <w:rPr>
          <w:rFonts w:asciiTheme="minorHAnsi" w:hAnsiTheme="minorHAnsi" w:cstheme="minorHAnsi"/>
        </w:rPr>
        <w:t xml:space="preserve"> </w:t>
      </w:r>
      <w:r w:rsidR="006A38B0" w:rsidRPr="00E35810">
        <w:rPr>
          <w:rFonts w:asciiTheme="minorHAnsi" w:hAnsiTheme="minorHAnsi" w:cstheme="minorHAnsi"/>
        </w:rPr>
        <w:t xml:space="preserve">Deborah </w:t>
      </w:r>
      <w:r w:rsidR="007D52D2" w:rsidRPr="00E35810">
        <w:rPr>
          <w:rFonts w:asciiTheme="minorHAnsi" w:hAnsiTheme="minorHAnsi" w:cstheme="minorHAnsi"/>
        </w:rPr>
        <w:t xml:space="preserve">Healey and </w:t>
      </w:r>
      <w:r w:rsidR="006A38B0" w:rsidRPr="00E35810">
        <w:rPr>
          <w:rFonts w:asciiTheme="minorHAnsi" w:hAnsiTheme="minorHAnsi" w:cstheme="minorHAnsi"/>
        </w:rPr>
        <w:t xml:space="preserve">Jack </w:t>
      </w:r>
      <w:r w:rsidR="007D52D2" w:rsidRPr="00E35810">
        <w:rPr>
          <w:rFonts w:asciiTheme="minorHAnsi" w:hAnsiTheme="minorHAnsi" w:cstheme="minorHAnsi"/>
        </w:rPr>
        <w:t xml:space="preserve">Coles </w:t>
      </w:r>
      <w:r w:rsidR="006A38B0" w:rsidRPr="00E35810">
        <w:rPr>
          <w:rFonts w:asciiTheme="minorHAnsi" w:hAnsiTheme="minorHAnsi" w:cstheme="minorHAnsi"/>
        </w:rPr>
        <w:t>“</w:t>
      </w:r>
      <w:r w:rsidR="007D52D2" w:rsidRPr="00E35810">
        <w:rPr>
          <w:rFonts w:asciiTheme="minorHAnsi" w:hAnsiTheme="minorHAnsi" w:cstheme="minorHAnsi"/>
        </w:rPr>
        <w:t xml:space="preserve">From </w:t>
      </w:r>
      <w:r w:rsidR="006A38B0" w:rsidRPr="00E35810">
        <w:rPr>
          <w:rFonts w:asciiTheme="minorHAnsi" w:hAnsiTheme="minorHAnsi" w:cstheme="minorHAnsi"/>
        </w:rPr>
        <w:t>‘</w:t>
      </w:r>
      <w:r w:rsidR="00932835" w:rsidRPr="00E35810">
        <w:rPr>
          <w:rFonts w:asciiTheme="minorHAnsi" w:hAnsiTheme="minorHAnsi" w:cstheme="minorHAnsi"/>
        </w:rPr>
        <w:t>c</w:t>
      </w:r>
      <w:r w:rsidR="007D52D2" w:rsidRPr="00E35810">
        <w:rPr>
          <w:rFonts w:asciiTheme="minorHAnsi" w:hAnsiTheme="minorHAnsi" w:cstheme="minorHAnsi"/>
        </w:rPr>
        <w:t xml:space="preserve">arries </w:t>
      </w:r>
      <w:r w:rsidR="00932835" w:rsidRPr="00E35810">
        <w:rPr>
          <w:rFonts w:asciiTheme="minorHAnsi" w:hAnsiTheme="minorHAnsi" w:cstheme="minorHAnsi"/>
        </w:rPr>
        <w:t>o</w:t>
      </w:r>
      <w:r w:rsidR="007D52D2" w:rsidRPr="00E35810">
        <w:rPr>
          <w:rFonts w:asciiTheme="minorHAnsi" w:hAnsiTheme="minorHAnsi" w:cstheme="minorHAnsi"/>
        </w:rPr>
        <w:t xml:space="preserve">n </w:t>
      </w:r>
      <w:r w:rsidR="00932835" w:rsidRPr="00E35810">
        <w:rPr>
          <w:rFonts w:asciiTheme="minorHAnsi" w:hAnsiTheme="minorHAnsi" w:cstheme="minorHAnsi"/>
        </w:rPr>
        <w:t>a</w:t>
      </w:r>
      <w:r w:rsidR="007D52D2" w:rsidRPr="00E35810">
        <w:rPr>
          <w:rFonts w:asciiTheme="minorHAnsi" w:hAnsiTheme="minorHAnsi" w:cstheme="minorHAnsi"/>
        </w:rPr>
        <w:t xml:space="preserve"> </w:t>
      </w:r>
      <w:r w:rsidR="00932835" w:rsidRPr="00E35810">
        <w:rPr>
          <w:rFonts w:asciiTheme="minorHAnsi" w:hAnsiTheme="minorHAnsi" w:cstheme="minorHAnsi"/>
        </w:rPr>
        <w:t>b</w:t>
      </w:r>
      <w:r w:rsidR="007D52D2" w:rsidRPr="00E35810">
        <w:rPr>
          <w:rFonts w:asciiTheme="minorHAnsi" w:hAnsiTheme="minorHAnsi" w:cstheme="minorHAnsi"/>
        </w:rPr>
        <w:t>usiness</w:t>
      </w:r>
      <w:r w:rsidR="006A38B0" w:rsidRPr="00E35810">
        <w:rPr>
          <w:rFonts w:asciiTheme="minorHAnsi" w:hAnsiTheme="minorHAnsi" w:cstheme="minorHAnsi"/>
        </w:rPr>
        <w:t>’</w:t>
      </w:r>
      <w:r w:rsidR="007D52D2" w:rsidRPr="00E35810">
        <w:rPr>
          <w:rFonts w:asciiTheme="minorHAnsi" w:hAnsiTheme="minorHAnsi" w:cstheme="minorHAnsi"/>
        </w:rPr>
        <w:t xml:space="preserve"> </w:t>
      </w:r>
      <w:r w:rsidR="006A38B0" w:rsidRPr="00E35810">
        <w:rPr>
          <w:rFonts w:asciiTheme="minorHAnsi" w:hAnsiTheme="minorHAnsi" w:cstheme="minorHAnsi"/>
        </w:rPr>
        <w:t>t</w:t>
      </w:r>
      <w:r w:rsidR="007D52D2" w:rsidRPr="00E35810">
        <w:rPr>
          <w:rFonts w:asciiTheme="minorHAnsi" w:hAnsiTheme="minorHAnsi" w:cstheme="minorHAnsi"/>
        </w:rPr>
        <w:t xml:space="preserve">o </w:t>
      </w:r>
      <w:r w:rsidR="006A38B0" w:rsidRPr="00E35810">
        <w:rPr>
          <w:rFonts w:asciiTheme="minorHAnsi" w:hAnsiTheme="minorHAnsi" w:cstheme="minorHAnsi"/>
        </w:rPr>
        <w:t>‘</w:t>
      </w:r>
      <w:r w:rsidR="008F3565" w:rsidRPr="00E35810">
        <w:rPr>
          <w:rFonts w:asciiTheme="minorHAnsi" w:hAnsiTheme="minorHAnsi" w:cstheme="minorHAnsi"/>
        </w:rPr>
        <w:t>i</w:t>
      </w:r>
      <w:r w:rsidR="007D52D2" w:rsidRPr="00E35810">
        <w:rPr>
          <w:rFonts w:asciiTheme="minorHAnsi" w:hAnsiTheme="minorHAnsi" w:cstheme="minorHAnsi"/>
        </w:rPr>
        <w:t xml:space="preserve">n </w:t>
      </w:r>
      <w:r w:rsidR="008F3565" w:rsidRPr="00E35810">
        <w:rPr>
          <w:rFonts w:asciiTheme="minorHAnsi" w:hAnsiTheme="minorHAnsi" w:cstheme="minorHAnsi"/>
        </w:rPr>
        <w:t>t</w:t>
      </w:r>
      <w:r w:rsidR="007D52D2" w:rsidRPr="00E35810">
        <w:rPr>
          <w:rFonts w:asciiTheme="minorHAnsi" w:hAnsiTheme="minorHAnsi" w:cstheme="minorHAnsi"/>
        </w:rPr>
        <w:t xml:space="preserve">rade </w:t>
      </w:r>
      <w:r w:rsidR="008F3565" w:rsidRPr="00E35810">
        <w:rPr>
          <w:rFonts w:asciiTheme="minorHAnsi" w:hAnsiTheme="minorHAnsi" w:cstheme="minorHAnsi"/>
        </w:rPr>
        <w:t>o</w:t>
      </w:r>
      <w:r w:rsidR="005D5F18" w:rsidRPr="00E35810">
        <w:rPr>
          <w:rFonts w:asciiTheme="minorHAnsi" w:hAnsiTheme="minorHAnsi" w:cstheme="minorHAnsi"/>
        </w:rPr>
        <w:t>r</w:t>
      </w:r>
      <w:r w:rsidR="007D52D2" w:rsidRPr="00E35810">
        <w:rPr>
          <w:rFonts w:asciiTheme="minorHAnsi" w:hAnsiTheme="minorHAnsi" w:cstheme="minorHAnsi"/>
        </w:rPr>
        <w:t xml:space="preserve"> </w:t>
      </w:r>
      <w:r w:rsidR="008F3565" w:rsidRPr="00E35810">
        <w:rPr>
          <w:rFonts w:asciiTheme="minorHAnsi" w:hAnsiTheme="minorHAnsi" w:cstheme="minorHAnsi"/>
        </w:rPr>
        <w:t>c</w:t>
      </w:r>
      <w:r w:rsidR="007D52D2" w:rsidRPr="00E35810">
        <w:rPr>
          <w:rFonts w:asciiTheme="minorHAnsi" w:hAnsiTheme="minorHAnsi" w:cstheme="minorHAnsi"/>
        </w:rPr>
        <w:t>ommerce</w:t>
      </w:r>
      <w:r w:rsidR="006A38B0" w:rsidRPr="00E35810">
        <w:rPr>
          <w:rFonts w:asciiTheme="minorHAnsi" w:hAnsiTheme="minorHAnsi" w:cstheme="minorHAnsi"/>
        </w:rPr>
        <w:t>’</w:t>
      </w:r>
      <w:r w:rsidR="007D52D2" w:rsidRPr="00E35810">
        <w:rPr>
          <w:rFonts w:asciiTheme="minorHAnsi" w:hAnsiTheme="minorHAnsi" w:cstheme="minorHAnsi"/>
        </w:rPr>
        <w:t xml:space="preserve">: Efficiency </w:t>
      </w:r>
      <w:r w:rsidR="008F3565" w:rsidRPr="00E35810">
        <w:rPr>
          <w:rFonts w:asciiTheme="minorHAnsi" w:hAnsiTheme="minorHAnsi" w:cstheme="minorHAnsi"/>
        </w:rPr>
        <w:t>i</w:t>
      </w:r>
      <w:r w:rsidR="007D52D2" w:rsidRPr="00E35810">
        <w:rPr>
          <w:rFonts w:asciiTheme="minorHAnsi" w:hAnsiTheme="minorHAnsi" w:cstheme="minorHAnsi"/>
        </w:rPr>
        <w:t xml:space="preserve">n </w:t>
      </w:r>
      <w:r w:rsidR="008F3565" w:rsidRPr="00E35810">
        <w:rPr>
          <w:rFonts w:asciiTheme="minorHAnsi" w:hAnsiTheme="minorHAnsi" w:cstheme="minorHAnsi"/>
        </w:rPr>
        <w:t>g</w:t>
      </w:r>
      <w:r w:rsidR="007D52D2" w:rsidRPr="00E35810">
        <w:rPr>
          <w:rFonts w:asciiTheme="minorHAnsi" w:hAnsiTheme="minorHAnsi" w:cstheme="minorHAnsi"/>
        </w:rPr>
        <w:t xml:space="preserve">overnment </w:t>
      </w:r>
      <w:r w:rsidR="008F3565" w:rsidRPr="00E35810">
        <w:rPr>
          <w:rFonts w:asciiTheme="minorHAnsi" w:hAnsiTheme="minorHAnsi" w:cstheme="minorHAnsi"/>
        </w:rPr>
        <w:t>o</w:t>
      </w:r>
      <w:r w:rsidR="007D52D2" w:rsidRPr="00E35810">
        <w:rPr>
          <w:rFonts w:asciiTheme="minorHAnsi" w:hAnsiTheme="minorHAnsi" w:cstheme="minorHAnsi"/>
        </w:rPr>
        <w:t xml:space="preserve">r </w:t>
      </w:r>
      <w:r w:rsidR="008F3565" w:rsidRPr="00E35810">
        <w:rPr>
          <w:rFonts w:asciiTheme="minorHAnsi" w:hAnsiTheme="minorHAnsi" w:cstheme="minorHAnsi"/>
        </w:rPr>
        <w:t>s</w:t>
      </w:r>
      <w:r w:rsidR="007D52D2" w:rsidRPr="00E35810">
        <w:rPr>
          <w:rFonts w:asciiTheme="minorHAnsi" w:hAnsiTheme="minorHAnsi" w:cstheme="minorHAnsi"/>
        </w:rPr>
        <w:t xml:space="preserve">emantic </w:t>
      </w:r>
      <w:r w:rsidR="008F3565" w:rsidRPr="00E35810">
        <w:rPr>
          <w:rFonts w:asciiTheme="minorHAnsi" w:hAnsiTheme="minorHAnsi" w:cstheme="minorHAnsi"/>
        </w:rPr>
        <w:t>e</w:t>
      </w:r>
      <w:r w:rsidR="007D52D2" w:rsidRPr="00E35810">
        <w:rPr>
          <w:rFonts w:asciiTheme="minorHAnsi" w:hAnsiTheme="minorHAnsi" w:cstheme="minorHAnsi"/>
        </w:rPr>
        <w:t>ndeavour?</w:t>
      </w:r>
      <w:r w:rsidR="006A38B0" w:rsidRPr="00E35810">
        <w:rPr>
          <w:rFonts w:asciiTheme="minorHAnsi" w:hAnsiTheme="minorHAnsi" w:cstheme="minorHAnsi"/>
        </w:rPr>
        <w:t>”</w:t>
      </w:r>
      <w:r w:rsidR="007D52D2" w:rsidRPr="00E35810">
        <w:rPr>
          <w:rFonts w:asciiTheme="minorHAnsi" w:hAnsiTheme="minorHAnsi" w:cstheme="minorHAnsi"/>
        </w:rPr>
        <w:t xml:space="preserve"> </w:t>
      </w:r>
      <w:r w:rsidR="006C1D81" w:rsidRPr="00E35810">
        <w:rPr>
          <w:rFonts w:asciiTheme="minorHAnsi" w:hAnsiTheme="minorHAnsi" w:cstheme="minorHAnsi"/>
        </w:rPr>
        <w:t xml:space="preserve">(2018) 26 </w:t>
      </w:r>
      <w:r w:rsidR="00670560" w:rsidRPr="00E35810">
        <w:rPr>
          <w:rFonts w:asciiTheme="minorHAnsi" w:hAnsiTheme="minorHAnsi" w:cstheme="minorHAnsi"/>
        </w:rPr>
        <w:t>CCLJ</w:t>
      </w:r>
      <w:r w:rsidR="006C1D81" w:rsidRPr="00E35810">
        <w:rPr>
          <w:rFonts w:asciiTheme="minorHAnsi" w:hAnsiTheme="minorHAnsi" w:cstheme="minorHAnsi"/>
        </w:rPr>
        <w:t xml:space="preserve"> 47</w:t>
      </w:r>
      <w:r w:rsidR="006A38B0" w:rsidRPr="00E35810">
        <w:rPr>
          <w:rFonts w:asciiTheme="minorHAnsi" w:hAnsiTheme="minorHAnsi" w:cstheme="minorHAnsi"/>
        </w:rPr>
        <w:t>.</w:t>
      </w:r>
    </w:p>
  </w:footnote>
  <w:footnote w:id="21">
    <w:p w14:paraId="139795BA" w14:textId="47EA52C8" w:rsidR="00F8713E" w:rsidRPr="00E35810" w:rsidRDefault="00F8713E"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C07F43" w:rsidRPr="00E35810">
        <w:rPr>
          <w:rFonts w:asciiTheme="minorHAnsi" w:hAnsiTheme="minorHAnsi" w:cstheme="minorHAnsi"/>
        </w:rPr>
        <w:tab/>
      </w:r>
      <w:r w:rsidR="00F05C0F" w:rsidRPr="00E35810">
        <w:rPr>
          <w:rFonts w:asciiTheme="minorHAnsi" w:hAnsiTheme="minorHAnsi" w:cstheme="minorHAnsi"/>
        </w:rPr>
        <w:t>At</w:t>
      </w:r>
      <w:r w:rsidRPr="00E35810">
        <w:rPr>
          <w:rFonts w:asciiTheme="minorHAnsi" w:hAnsiTheme="minorHAnsi" w:cstheme="minorHAnsi"/>
        </w:rPr>
        <w:t xml:space="preserve"> </w:t>
      </w:r>
      <w:r w:rsidR="006A38B0" w:rsidRPr="00E35810">
        <w:rPr>
          <w:rFonts w:asciiTheme="minorHAnsi" w:hAnsiTheme="minorHAnsi" w:cstheme="minorHAnsi"/>
        </w:rPr>
        <w:t>[</w:t>
      </w:r>
      <w:r w:rsidRPr="00E35810">
        <w:rPr>
          <w:rFonts w:asciiTheme="minorHAnsi" w:hAnsiTheme="minorHAnsi" w:cstheme="minorHAnsi"/>
        </w:rPr>
        <w:t>10.25</w:t>
      </w:r>
      <w:r w:rsidR="006A38B0" w:rsidRPr="00E35810">
        <w:rPr>
          <w:rFonts w:asciiTheme="minorHAnsi" w:hAnsiTheme="minorHAnsi" w:cstheme="minorHAnsi"/>
        </w:rPr>
        <w:t>]</w:t>
      </w:r>
      <w:r w:rsidRPr="00E35810">
        <w:rPr>
          <w:rFonts w:asciiTheme="minorHAnsi" w:hAnsiTheme="minorHAnsi" w:cstheme="minorHAnsi"/>
        </w:rPr>
        <w:t>.</w:t>
      </w:r>
    </w:p>
  </w:footnote>
  <w:footnote w:id="22">
    <w:p w14:paraId="73268E2A" w14:textId="6CA8D696" w:rsidR="00726206" w:rsidRPr="00E35810" w:rsidRDefault="00726206"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Style w:val="FootnoteReference"/>
          <w:rFonts w:asciiTheme="minorHAnsi" w:hAnsiTheme="minorHAnsi" w:cstheme="minorHAnsi"/>
          <w:vertAlign w:val="baseline"/>
        </w:rPr>
        <w:t xml:space="preserve"> </w:t>
      </w:r>
      <w:r w:rsidRPr="00E35810">
        <w:rPr>
          <w:rFonts w:asciiTheme="minorHAnsi" w:hAnsiTheme="minorHAnsi" w:cstheme="minorHAnsi"/>
        </w:rPr>
        <w:tab/>
        <w:t>Th</w:t>
      </w:r>
      <w:r w:rsidR="0075620A" w:rsidRPr="00E35810">
        <w:rPr>
          <w:rFonts w:asciiTheme="minorHAnsi" w:hAnsiTheme="minorHAnsi" w:cstheme="minorHAnsi"/>
        </w:rPr>
        <w:t xml:space="preserve">is article focusses on the </w:t>
      </w:r>
      <w:r w:rsidR="0097780C" w:rsidRPr="00E35810">
        <w:rPr>
          <w:rFonts w:asciiTheme="minorHAnsi" w:hAnsiTheme="minorHAnsi" w:cstheme="minorHAnsi"/>
        </w:rPr>
        <w:t xml:space="preserve">application of the substantive prohibitions of the Commerce Act to the </w:t>
      </w:r>
      <w:r w:rsidR="00475178" w:rsidRPr="00E35810">
        <w:rPr>
          <w:rFonts w:asciiTheme="minorHAnsi" w:hAnsiTheme="minorHAnsi" w:cstheme="minorHAnsi"/>
        </w:rPr>
        <w:t>Crown and</w:t>
      </w:r>
      <w:r w:rsidR="007E4FD1" w:rsidRPr="00E35810">
        <w:rPr>
          <w:rFonts w:asciiTheme="minorHAnsi" w:hAnsiTheme="minorHAnsi" w:cstheme="minorHAnsi"/>
        </w:rPr>
        <w:t xml:space="preserve"> does not e</w:t>
      </w:r>
      <w:r w:rsidR="0097780C" w:rsidRPr="00E35810">
        <w:rPr>
          <w:rFonts w:asciiTheme="minorHAnsi" w:hAnsiTheme="minorHAnsi" w:cstheme="minorHAnsi"/>
        </w:rPr>
        <w:t>xplor</w:t>
      </w:r>
      <w:r w:rsidR="00263CB8" w:rsidRPr="00E35810">
        <w:rPr>
          <w:rFonts w:asciiTheme="minorHAnsi" w:hAnsiTheme="minorHAnsi" w:cstheme="minorHAnsi"/>
        </w:rPr>
        <w:t>e</w:t>
      </w:r>
      <w:r w:rsidR="0097780C" w:rsidRPr="00E35810">
        <w:rPr>
          <w:rFonts w:asciiTheme="minorHAnsi" w:hAnsiTheme="minorHAnsi" w:cstheme="minorHAnsi"/>
        </w:rPr>
        <w:t xml:space="preserve"> th</w:t>
      </w:r>
      <w:r w:rsidRPr="00E35810">
        <w:rPr>
          <w:rFonts w:asciiTheme="minorHAnsi" w:hAnsiTheme="minorHAnsi" w:cstheme="minorHAnsi"/>
        </w:rPr>
        <w:t>e</w:t>
      </w:r>
      <w:r w:rsidR="0018368F" w:rsidRPr="00E35810">
        <w:rPr>
          <w:rFonts w:asciiTheme="minorHAnsi" w:hAnsiTheme="minorHAnsi" w:cstheme="minorHAnsi"/>
        </w:rPr>
        <w:t xml:space="preserve"> </w:t>
      </w:r>
      <w:r w:rsidR="007E4FD1" w:rsidRPr="00E35810">
        <w:rPr>
          <w:rFonts w:asciiTheme="minorHAnsi" w:hAnsiTheme="minorHAnsi" w:cstheme="minorHAnsi"/>
        </w:rPr>
        <w:t xml:space="preserve">application of the </w:t>
      </w:r>
      <w:r w:rsidR="0018368F" w:rsidRPr="00E35810">
        <w:rPr>
          <w:rFonts w:asciiTheme="minorHAnsi" w:hAnsiTheme="minorHAnsi" w:cstheme="minorHAnsi"/>
        </w:rPr>
        <w:t xml:space="preserve">enforcement and </w:t>
      </w:r>
      <w:r w:rsidR="00C94B53" w:rsidRPr="00E35810">
        <w:rPr>
          <w:rFonts w:asciiTheme="minorHAnsi" w:hAnsiTheme="minorHAnsi" w:cstheme="minorHAnsi"/>
        </w:rPr>
        <w:t>investigative</w:t>
      </w:r>
      <w:r w:rsidR="007E4FD1" w:rsidRPr="00E35810">
        <w:rPr>
          <w:rFonts w:asciiTheme="minorHAnsi" w:hAnsiTheme="minorHAnsi" w:cstheme="minorHAnsi"/>
        </w:rPr>
        <w:t xml:space="preserve"> provisions.</w:t>
      </w:r>
      <w:r w:rsidR="001112A6" w:rsidRPr="00E35810">
        <w:rPr>
          <w:rFonts w:asciiTheme="minorHAnsi" w:hAnsiTheme="minorHAnsi" w:cstheme="minorHAnsi"/>
        </w:rPr>
        <w:t xml:space="preserve"> </w:t>
      </w:r>
      <w:r w:rsidR="00263CB8" w:rsidRPr="00E35810">
        <w:rPr>
          <w:rFonts w:asciiTheme="minorHAnsi" w:hAnsiTheme="minorHAnsi" w:cstheme="minorHAnsi"/>
        </w:rPr>
        <w:t>F</w:t>
      </w:r>
      <w:r w:rsidR="00C94B53" w:rsidRPr="00E35810">
        <w:rPr>
          <w:rFonts w:asciiTheme="minorHAnsi" w:hAnsiTheme="minorHAnsi" w:cstheme="minorHAnsi"/>
        </w:rPr>
        <w:t xml:space="preserve">or discussion of </w:t>
      </w:r>
      <w:r w:rsidR="00B354F9" w:rsidRPr="00E35810">
        <w:rPr>
          <w:rFonts w:asciiTheme="minorHAnsi" w:hAnsiTheme="minorHAnsi" w:cstheme="minorHAnsi"/>
        </w:rPr>
        <w:t xml:space="preserve">this and other approaches see Steven Price </w:t>
      </w:r>
      <w:r w:rsidR="00C92B13" w:rsidRPr="00E35810">
        <w:rPr>
          <w:rFonts w:asciiTheme="minorHAnsi" w:hAnsiTheme="minorHAnsi" w:cstheme="minorHAnsi"/>
        </w:rPr>
        <w:t>“</w:t>
      </w:r>
      <w:r w:rsidR="00B354F9" w:rsidRPr="00E35810">
        <w:rPr>
          <w:rFonts w:asciiTheme="minorHAnsi" w:hAnsiTheme="minorHAnsi" w:cstheme="minorHAnsi"/>
        </w:rPr>
        <w:t xml:space="preserve">Crown </w:t>
      </w:r>
      <w:r w:rsidR="00C747B5" w:rsidRPr="00E35810">
        <w:rPr>
          <w:rFonts w:asciiTheme="minorHAnsi" w:hAnsiTheme="minorHAnsi" w:cstheme="minorHAnsi"/>
        </w:rPr>
        <w:t>i</w:t>
      </w:r>
      <w:r w:rsidR="00B354F9" w:rsidRPr="00E35810">
        <w:rPr>
          <w:rFonts w:asciiTheme="minorHAnsi" w:hAnsiTheme="minorHAnsi" w:cstheme="minorHAnsi"/>
        </w:rPr>
        <w:t xml:space="preserve">mmunity on </w:t>
      </w:r>
      <w:r w:rsidR="00C747B5" w:rsidRPr="00E35810">
        <w:rPr>
          <w:rFonts w:asciiTheme="minorHAnsi" w:hAnsiTheme="minorHAnsi" w:cstheme="minorHAnsi"/>
        </w:rPr>
        <w:t>t</w:t>
      </w:r>
      <w:r w:rsidR="00B354F9" w:rsidRPr="00E35810">
        <w:rPr>
          <w:rFonts w:asciiTheme="minorHAnsi" w:hAnsiTheme="minorHAnsi" w:cstheme="minorHAnsi"/>
        </w:rPr>
        <w:t xml:space="preserve">rial </w:t>
      </w:r>
      <w:r w:rsidR="00A21A26" w:rsidRPr="00E35810">
        <w:rPr>
          <w:rFonts w:asciiTheme="minorHAnsi" w:hAnsiTheme="minorHAnsi" w:cstheme="minorHAnsi"/>
        </w:rPr>
        <w:t>—</w:t>
      </w:r>
      <w:r w:rsidR="00C92B13" w:rsidRPr="00E35810">
        <w:rPr>
          <w:rFonts w:asciiTheme="minorHAnsi" w:hAnsiTheme="minorHAnsi" w:cstheme="minorHAnsi"/>
        </w:rPr>
        <w:t xml:space="preserve"> </w:t>
      </w:r>
      <w:r w:rsidR="009F772E" w:rsidRPr="00E35810">
        <w:rPr>
          <w:rFonts w:asciiTheme="minorHAnsi" w:hAnsiTheme="minorHAnsi" w:cstheme="minorHAnsi"/>
        </w:rPr>
        <w:t>t</w:t>
      </w:r>
      <w:r w:rsidR="00B354F9" w:rsidRPr="00E35810">
        <w:rPr>
          <w:rFonts w:asciiTheme="minorHAnsi" w:hAnsiTheme="minorHAnsi" w:cstheme="minorHAnsi"/>
        </w:rPr>
        <w:t xml:space="preserve">he </w:t>
      </w:r>
      <w:r w:rsidR="009F772E" w:rsidRPr="00E35810">
        <w:rPr>
          <w:rFonts w:asciiTheme="minorHAnsi" w:hAnsiTheme="minorHAnsi" w:cstheme="minorHAnsi"/>
        </w:rPr>
        <w:t>d</w:t>
      </w:r>
      <w:r w:rsidR="00B354F9" w:rsidRPr="00E35810">
        <w:rPr>
          <w:rFonts w:asciiTheme="minorHAnsi" w:hAnsiTheme="minorHAnsi" w:cstheme="minorHAnsi"/>
        </w:rPr>
        <w:t xml:space="preserve">esirability and </w:t>
      </w:r>
      <w:r w:rsidR="009F772E" w:rsidRPr="00E35810">
        <w:rPr>
          <w:rFonts w:asciiTheme="minorHAnsi" w:hAnsiTheme="minorHAnsi" w:cstheme="minorHAnsi"/>
        </w:rPr>
        <w:t>p</w:t>
      </w:r>
      <w:r w:rsidR="00B354F9" w:rsidRPr="00E35810">
        <w:rPr>
          <w:rFonts w:asciiTheme="minorHAnsi" w:hAnsiTheme="minorHAnsi" w:cstheme="minorHAnsi"/>
        </w:rPr>
        <w:t xml:space="preserve">racticability of </w:t>
      </w:r>
      <w:r w:rsidR="009F772E" w:rsidRPr="00E35810">
        <w:rPr>
          <w:rFonts w:asciiTheme="minorHAnsi" w:hAnsiTheme="minorHAnsi" w:cstheme="minorHAnsi"/>
        </w:rPr>
        <w:t>e</w:t>
      </w:r>
      <w:r w:rsidR="00B354F9" w:rsidRPr="00E35810">
        <w:rPr>
          <w:rFonts w:asciiTheme="minorHAnsi" w:hAnsiTheme="minorHAnsi" w:cstheme="minorHAnsi"/>
        </w:rPr>
        <w:t xml:space="preserve">nforcing </w:t>
      </w:r>
      <w:r w:rsidR="009F772E" w:rsidRPr="00E35810">
        <w:rPr>
          <w:rFonts w:asciiTheme="minorHAnsi" w:hAnsiTheme="minorHAnsi" w:cstheme="minorHAnsi"/>
        </w:rPr>
        <w:t>s</w:t>
      </w:r>
      <w:r w:rsidR="00B354F9" w:rsidRPr="00E35810">
        <w:rPr>
          <w:rFonts w:asciiTheme="minorHAnsi" w:hAnsiTheme="minorHAnsi" w:cstheme="minorHAnsi"/>
        </w:rPr>
        <w:t xml:space="preserve">tatue </w:t>
      </w:r>
      <w:r w:rsidR="009F772E" w:rsidRPr="00E35810">
        <w:rPr>
          <w:rFonts w:asciiTheme="minorHAnsi" w:hAnsiTheme="minorHAnsi" w:cstheme="minorHAnsi"/>
        </w:rPr>
        <w:t>l</w:t>
      </w:r>
      <w:r w:rsidR="00B354F9" w:rsidRPr="00E35810">
        <w:rPr>
          <w:rFonts w:asciiTheme="minorHAnsi" w:hAnsiTheme="minorHAnsi" w:cstheme="minorHAnsi"/>
        </w:rPr>
        <w:t>aw against the Crown</w:t>
      </w:r>
      <w:r w:rsidR="00C92B13" w:rsidRPr="00E35810">
        <w:rPr>
          <w:rFonts w:asciiTheme="minorHAnsi" w:hAnsiTheme="minorHAnsi" w:cstheme="minorHAnsi"/>
        </w:rPr>
        <w:t>”</w:t>
      </w:r>
      <w:r w:rsidR="00B354F9" w:rsidRPr="00E35810">
        <w:rPr>
          <w:rFonts w:asciiTheme="minorHAnsi" w:hAnsiTheme="minorHAnsi" w:cstheme="minorHAnsi"/>
        </w:rPr>
        <w:t xml:space="preserve"> (1990) 20 </w:t>
      </w:r>
      <w:r w:rsidR="00C92B13" w:rsidRPr="00E35810">
        <w:rPr>
          <w:rFonts w:asciiTheme="minorHAnsi" w:hAnsiTheme="minorHAnsi" w:cstheme="minorHAnsi"/>
        </w:rPr>
        <w:t>VUWLR</w:t>
      </w:r>
      <w:r w:rsidR="00B354F9" w:rsidRPr="00E35810">
        <w:rPr>
          <w:rFonts w:asciiTheme="minorHAnsi" w:hAnsiTheme="minorHAnsi" w:cstheme="minorHAnsi"/>
        </w:rPr>
        <w:t xml:space="preserve"> 213</w:t>
      </w:r>
      <w:r w:rsidR="002E1226" w:rsidRPr="00E35810">
        <w:rPr>
          <w:rFonts w:asciiTheme="minorHAnsi" w:hAnsiTheme="minorHAnsi" w:cstheme="minorHAnsi"/>
        </w:rPr>
        <w:t xml:space="preserve"> at 231–24</w:t>
      </w:r>
      <w:r w:rsidR="00196F1A" w:rsidRPr="00E35810">
        <w:rPr>
          <w:rFonts w:asciiTheme="minorHAnsi" w:hAnsiTheme="minorHAnsi" w:cstheme="minorHAnsi"/>
        </w:rPr>
        <w:t>3</w:t>
      </w:r>
      <w:r w:rsidR="002E1226" w:rsidRPr="00E35810">
        <w:rPr>
          <w:rFonts w:asciiTheme="minorHAnsi" w:hAnsiTheme="minorHAnsi" w:cstheme="minorHAnsi"/>
        </w:rPr>
        <w:t>.</w:t>
      </w:r>
    </w:p>
  </w:footnote>
  <w:footnote w:id="23">
    <w:p w14:paraId="266CA6D1" w14:textId="243D2451" w:rsidR="0080514F" w:rsidRPr="00E35810" w:rsidRDefault="0080514F"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C07F43" w:rsidRPr="00E35810">
        <w:rPr>
          <w:rFonts w:asciiTheme="minorHAnsi" w:hAnsiTheme="minorHAnsi" w:cstheme="minorHAnsi"/>
        </w:rPr>
        <w:tab/>
      </w:r>
      <w:r w:rsidRPr="00E35810">
        <w:rPr>
          <w:rFonts w:asciiTheme="minorHAnsi" w:hAnsiTheme="minorHAnsi" w:cstheme="minorHAnsi"/>
        </w:rPr>
        <w:t xml:space="preserve">Public Services Act </w:t>
      </w:r>
      <w:r w:rsidR="00BA51B8" w:rsidRPr="00E35810">
        <w:rPr>
          <w:rFonts w:asciiTheme="minorHAnsi" w:hAnsiTheme="minorHAnsi" w:cstheme="minorHAnsi"/>
        </w:rPr>
        <w:t>2020,</w:t>
      </w:r>
      <w:r w:rsidRPr="00E35810">
        <w:rPr>
          <w:rFonts w:asciiTheme="minorHAnsi" w:hAnsiTheme="minorHAnsi" w:cstheme="minorHAnsi"/>
        </w:rPr>
        <w:t xml:space="preserve"> </w:t>
      </w:r>
      <w:r w:rsidR="006A38B0" w:rsidRPr="00E35810">
        <w:rPr>
          <w:rFonts w:asciiTheme="minorHAnsi" w:hAnsiTheme="minorHAnsi" w:cstheme="minorHAnsi"/>
        </w:rPr>
        <w:t>s 104</w:t>
      </w:r>
      <w:r w:rsidR="00D0378A" w:rsidRPr="00E35810">
        <w:rPr>
          <w:rFonts w:asciiTheme="minorHAnsi" w:hAnsiTheme="minorHAnsi" w:cstheme="minorHAnsi"/>
        </w:rPr>
        <w:t>;</w:t>
      </w:r>
      <w:r w:rsidR="006A38B0" w:rsidRPr="00E35810">
        <w:rPr>
          <w:rFonts w:asciiTheme="minorHAnsi" w:hAnsiTheme="minorHAnsi" w:cstheme="minorHAnsi"/>
        </w:rPr>
        <w:t xml:space="preserve"> </w:t>
      </w:r>
      <w:r w:rsidRPr="00E35810">
        <w:rPr>
          <w:rFonts w:asciiTheme="minorHAnsi" w:hAnsiTheme="minorHAnsi" w:cstheme="minorHAnsi"/>
        </w:rPr>
        <w:t>and Crown Entities Act 2004</w:t>
      </w:r>
      <w:r w:rsidR="006A38B0" w:rsidRPr="00E35810">
        <w:rPr>
          <w:rFonts w:asciiTheme="minorHAnsi" w:hAnsiTheme="minorHAnsi" w:cstheme="minorHAnsi"/>
        </w:rPr>
        <w:t>, s 121</w:t>
      </w:r>
      <w:r w:rsidR="000C6C85" w:rsidRPr="00E35810">
        <w:rPr>
          <w:rFonts w:asciiTheme="minorHAnsi" w:hAnsiTheme="minorHAnsi" w:cstheme="minorHAnsi"/>
        </w:rPr>
        <w:t>.</w:t>
      </w:r>
      <w:r w:rsidR="0068180E" w:rsidRPr="00E35810">
        <w:rPr>
          <w:rFonts w:asciiTheme="minorHAnsi" w:hAnsiTheme="minorHAnsi" w:cstheme="minorHAnsi"/>
        </w:rPr>
        <w:t xml:space="preserve"> These immunities </w:t>
      </w:r>
      <w:r w:rsidR="00AB1156" w:rsidRPr="00E35810">
        <w:rPr>
          <w:rFonts w:asciiTheme="minorHAnsi" w:hAnsiTheme="minorHAnsi" w:cstheme="minorHAnsi"/>
        </w:rPr>
        <w:t>are limited to civil liability.</w:t>
      </w:r>
    </w:p>
  </w:footnote>
  <w:footnote w:id="24">
    <w:p w14:paraId="71514528" w14:textId="5F9199D0" w:rsidR="0067767A" w:rsidRPr="00E35810" w:rsidRDefault="0067767A"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C07F43" w:rsidRPr="00E35810">
        <w:rPr>
          <w:rFonts w:asciiTheme="minorHAnsi" w:hAnsiTheme="minorHAnsi" w:cstheme="minorHAnsi"/>
        </w:rPr>
        <w:tab/>
      </w:r>
      <w:r w:rsidR="000707B1" w:rsidRPr="00E35810">
        <w:rPr>
          <w:rFonts w:asciiTheme="minorHAnsi" w:hAnsiTheme="minorHAnsi" w:cstheme="minorHAnsi"/>
          <w:i/>
          <w:iCs/>
        </w:rPr>
        <w:t>Gault on Commercial Law</w:t>
      </w:r>
      <w:r w:rsidR="00C26FD4" w:rsidRPr="00E35810">
        <w:rPr>
          <w:rFonts w:asciiTheme="minorHAnsi" w:hAnsiTheme="minorHAnsi" w:cstheme="minorHAnsi"/>
        </w:rPr>
        <w:t xml:space="preserve"> </w:t>
      </w:r>
      <w:r w:rsidR="00A21A26" w:rsidRPr="00E35810">
        <w:rPr>
          <w:rFonts w:asciiTheme="minorHAnsi" w:hAnsiTheme="minorHAnsi" w:cstheme="minorHAnsi"/>
          <w:i/>
          <w:iCs/>
        </w:rPr>
        <w:t>—</w:t>
      </w:r>
      <w:r w:rsidR="00055889" w:rsidRPr="00E35810">
        <w:rPr>
          <w:rFonts w:asciiTheme="minorHAnsi" w:hAnsiTheme="minorHAnsi" w:cstheme="minorHAnsi"/>
          <w:i/>
          <w:iCs/>
        </w:rPr>
        <w:t xml:space="preserve"> </w:t>
      </w:r>
      <w:r w:rsidR="00C26FD4" w:rsidRPr="00E35810">
        <w:rPr>
          <w:rFonts w:asciiTheme="minorHAnsi" w:hAnsiTheme="minorHAnsi" w:cstheme="minorHAnsi"/>
          <w:i/>
          <w:iCs/>
        </w:rPr>
        <w:t>Commerce Act 1986</w:t>
      </w:r>
      <w:r w:rsidR="00B11C4D" w:rsidRPr="00E35810">
        <w:rPr>
          <w:rFonts w:asciiTheme="minorHAnsi" w:hAnsiTheme="minorHAnsi" w:cstheme="minorHAnsi"/>
          <w:i/>
          <w:iCs/>
        </w:rPr>
        <w:t xml:space="preserve"> </w:t>
      </w:r>
      <w:r w:rsidR="00B11C4D" w:rsidRPr="00E35810">
        <w:rPr>
          <w:rFonts w:asciiTheme="minorHAnsi" w:hAnsiTheme="minorHAnsi" w:cstheme="minorHAnsi"/>
        </w:rPr>
        <w:t xml:space="preserve">(online ed, </w:t>
      </w:r>
      <w:r w:rsidR="0013149A" w:rsidRPr="00E35810">
        <w:rPr>
          <w:rFonts w:asciiTheme="minorHAnsi" w:hAnsiTheme="minorHAnsi" w:cstheme="minorHAnsi"/>
        </w:rPr>
        <w:t>Thomson Reuters)</w:t>
      </w:r>
      <w:r w:rsidR="00F87194" w:rsidRPr="00E35810">
        <w:rPr>
          <w:rFonts w:asciiTheme="minorHAnsi" w:hAnsiTheme="minorHAnsi" w:cstheme="minorHAnsi"/>
        </w:rPr>
        <w:t xml:space="preserve"> at </w:t>
      </w:r>
      <w:r w:rsidR="00567CA5" w:rsidRPr="00E35810">
        <w:rPr>
          <w:rFonts w:asciiTheme="minorHAnsi" w:hAnsiTheme="minorHAnsi" w:cstheme="minorHAnsi"/>
        </w:rPr>
        <w:t>[</w:t>
      </w:r>
      <w:r w:rsidR="000707B1" w:rsidRPr="00E35810">
        <w:rPr>
          <w:rFonts w:asciiTheme="minorHAnsi" w:hAnsiTheme="minorHAnsi" w:cstheme="minorHAnsi"/>
        </w:rPr>
        <w:t>CA5.01</w:t>
      </w:r>
      <w:r w:rsidR="00567CA5" w:rsidRPr="00E35810">
        <w:rPr>
          <w:rFonts w:asciiTheme="minorHAnsi" w:hAnsiTheme="minorHAnsi" w:cstheme="minorHAnsi"/>
        </w:rPr>
        <w:t>]</w:t>
      </w:r>
      <w:r w:rsidR="000707B1" w:rsidRPr="00E35810">
        <w:rPr>
          <w:rFonts w:asciiTheme="minorHAnsi" w:hAnsiTheme="minorHAnsi" w:cstheme="minorHAnsi"/>
        </w:rPr>
        <w:t>.</w:t>
      </w:r>
      <w:r w:rsidR="00CF7FAC" w:rsidRPr="00E35810">
        <w:rPr>
          <w:rFonts w:asciiTheme="minorHAnsi" w:hAnsiTheme="minorHAnsi" w:cstheme="minorHAnsi"/>
        </w:rPr>
        <w:t xml:space="preserve"> See also </w:t>
      </w:r>
      <w:r w:rsidR="003902F1" w:rsidRPr="00E35810">
        <w:rPr>
          <w:rFonts w:asciiTheme="minorHAnsi" w:hAnsiTheme="minorHAnsi" w:cstheme="minorHAnsi"/>
          <w:i/>
          <w:iCs/>
        </w:rPr>
        <w:t>Australian Competition and Consumer Commission v Baxter Healthcare Pty Ltd</w:t>
      </w:r>
      <w:r w:rsidR="003902F1" w:rsidRPr="00E35810">
        <w:rPr>
          <w:rFonts w:asciiTheme="minorHAnsi" w:hAnsiTheme="minorHAnsi" w:cstheme="minorHAnsi"/>
        </w:rPr>
        <w:t xml:space="preserve"> [2007] HCA 38, (2007) 232 CLR 1 at</w:t>
      </w:r>
      <w:r w:rsidR="00453CA7" w:rsidRPr="00E35810">
        <w:rPr>
          <w:rFonts w:asciiTheme="minorHAnsi" w:hAnsiTheme="minorHAnsi" w:cstheme="minorHAnsi"/>
        </w:rPr>
        <w:t xml:space="preserve"> [63]–[6</w:t>
      </w:r>
      <w:r w:rsidR="00DB4A4C" w:rsidRPr="00E35810">
        <w:rPr>
          <w:rFonts w:asciiTheme="minorHAnsi" w:hAnsiTheme="minorHAnsi" w:cstheme="minorHAnsi"/>
        </w:rPr>
        <w:t>8</w:t>
      </w:r>
      <w:r w:rsidR="00453CA7" w:rsidRPr="00E35810">
        <w:rPr>
          <w:rFonts w:asciiTheme="minorHAnsi" w:hAnsiTheme="minorHAnsi" w:cstheme="minorHAnsi"/>
        </w:rPr>
        <w:t>].</w:t>
      </w:r>
    </w:p>
  </w:footnote>
  <w:footnote w:id="25">
    <w:p w14:paraId="1FD08C20" w14:textId="5CFEED14" w:rsidR="00D167F7" w:rsidRPr="00E35810" w:rsidRDefault="00D167F7"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C07F43" w:rsidRPr="00E35810">
        <w:rPr>
          <w:rFonts w:asciiTheme="minorHAnsi" w:hAnsiTheme="minorHAnsi" w:cstheme="minorHAnsi"/>
        </w:rPr>
        <w:tab/>
      </w:r>
      <w:r w:rsidRPr="00E35810">
        <w:rPr>
          <w:rFonts w:asciiTheme="minorHAnsi" w:hAnsiTheme="minorHAnsi" w:cstheme="minorHAnsi"/>
        </w:rPr>
        <w:t>The equivalent Australian provision is Competition Consumer</w:t>
      </w:r>
      <w:r w:rsidR="009A2267" w:rsidRPr="00E35810">
        <w:rPr>
          <w:rFonts w:asciiTheme="minorHAnsi" w:hAnsiTheme="minorHAnsi" w:cstheme="minorHAnsi"/>
        </w:rPr>
        <w:t xml:space="preserve"> Act 2010</w:t>
      </w:r>
      <w:r w:rsidR="006A38B0" w:rsidRPr="00E35810">
        <w:rPr>
          <w:rFonts w:asciiTheme="minorHAnsi" w:hAnsiTheme="minorHAnsi" w:cstheme="minorHAnsi"/>
        </w:rPr>
        <w:t>, s 51(1)</w:t>
      </w:r>
      <w:r w:rsidR="009A2267" w:rsidRPr="00E35810">
        <w:rPr>
          <w:rFonts w:asciiTheme="minorHAnsi" w:hAnsiTheme="minorHAnsi" w:cstheme="minorHAnsi"/>
        </w:rPr>
        <w:t>.</w:t>
      </w:r>
    </w:p>
  </w:footnote>
  <w:footnote w:id="26">
    <w:p w14:paraId="1CE80336" w14:textId="64AA5632" w:rsidR="00757CCB" w:rsidRPr="00E35810" w:rsidRDefault="00757CCB"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C07F43" w:rsidRPr="00E35810">
        <w:rPr>
          <w:rFonts w:asciiTheme="minorHAnsi" w:hAnsiTheme="minorHAnsi" w:cstheme="minorHAnsi"/>
        </w:rPr>
        <w:tab/>
      </w:r>
      <w:r w:rsidRPr="00E35810">
        <w:rPr>
          <w:rFonts w:asciiTheme="minorHAnsi" w:hAnsiTheme="minorHAnsi" w:cstheme="minorHAnsi"/>
          <w:i/>
          <w:iCs/>
        </w:rPr>
        <w:t>Apple Fields Ltd v New Zealand Apple and Pear Marketing Board</w:t>
      </w:r>
      <w:r w:rsidRPr="00E35810">
        <w:rPr>
          <w:rFonts w:asciiTheme="minorHAnsi" w:hAnsiTheme="minorHAnsi" w:cstheme="minorHAnsi"/>
        </w:rPr>
        <w:t xml:space="preserve"> [1991] 1 NZLR 257 (PC)</w:t>
      </w:r>
      <w:r w:rsidR="0089716D" w:rsidRPr="00E35810">
        <w:rPr>
          <w:rFonts w:asciiTheme="minorHAnsi" w:hAnsiTheme="minorHAnsi" w:cstheme="minorHAnsi"/>
        </w:rPr>
        <w:t>.</w:t>
      </w:r>
    </w:p>
  </w:footnote>
  <w:footnote w:id="27">
    <w:p w14:paraId="4EA9EF09" w14:textId="75B9A1D7" w:rsidR="00AB181C" w:rsidRPr="00E35810" w:rsidRDefault="00AB181C"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C07F43" w:rsidRPr="00E35810">
        <w:rPr>
          <w:rFonts w:asciiTheme="minorHAnsi" w:hAnsiTheme="minorHAnsi" w:cstheme="minorHAnsi"/>
        </w:rPr>
        <w:tab/>
      </w:r>
      <w:r w:rsidR="004C0FCD" w:rsidRPr="00E35810">
        <w:rPr>
          <w:rFonts w:asciiTheme="minorHAnsi" w:hAnsiTheme="minorHAnsi" w:cstheme="minorHAnsi"/>
          <w:i/>
          <w:iCs/>
        </w:rPr>
        <w:t>Apple Fields Ltd v New Zealand Apple and Pear Marketing Board</w:t>
      </w:r>
      <w:r w:rsidR="004C0FCD" w:rsidRPr="00E35810">
        <w:rPr>
          <w:rFonts w:asciiTheme="minorHAnsi" w:hAnsiTheme="minorHAnsi" w:cstheme="minorHAnsi"/>
        </w:rPr>
        <w:t xml:space="preserve"> HC Christchurch CP544/88, 21 March 1989.</w:t>
      </w:r>
    </w:p>
  </w:footnote>
  <w:footnote w:id="28">
    <w:p w14:paraId="2229A740" w14:textId="6FC6B1DA" w:rsidR="0001514F" w:rsidRPr="00E35810" w:rsidRDefault="0001514F"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C07F43" w:rsidRPr="00E35810">
        <w:rPr>
          <w:rFonts w:asciiTheme="minorHAnsi" w:hAnsiTheme="minorHAnsi" w:cstheme="minorHAnsi"/>
        </w:rPr>
        <w:tab/>
      </w:r>
      <w:r w:rsidR="00D47A3D" w:rsidRPr="00E35810">
        <w:rPr>
          <w:rFonts w:asciiTheme="minorHAnsi" w:hAnsiTheme="minorHAnsi" w:cstheme="minorHAnsi"/>
          <w:i/>
          <w:iCs/>
        </w:rPr>
        <w:t xml:space="preserve">New Zealand Apple </w:t>
      </w:r>
      <w:r w:rsidR="00C669EF" w:rsidRPr="00E35810">
        <w:rPr>
          <w:rFonts w:asciiTheme="minorHAnsi" w:hAnsiTheme="minorHAnsi" w:cstheme="minorHAnsi"/>
          <w:i/>
          <w:iCs/>
        </w:rPr>
        <w:t>and</w:t>
      </w:r>
      <w:r w:rsidR="00D47A3D" w:rsidRPr="00E35810">
        <w:rPr>
          <w:rFonts w:asciiTheme="minorHAnsi" w:hAnsiTheme="minorHAnsi" w:cstheme="minorHAnsi"/>
          <w:i/>
          <w:iCs/>
        </w:rPr>
        <w:t xml:space="preserve"> Pear Marketing Board v Apple Fields Ltd</w:t>
      </w:r>
      <w:r w:rsidR="004C0FCD" w:rsidRPr="00E35810">
        <w:rPr>
          <w:rFonts w:asciiTheme="minorHAnsi" w:hAnsiTheme="minorHAnsi" w:cstheme="minorHAnsi"/>
          <w:i/>
          <w:iCs/>
        </w:rPr>
        <w:t xml:space="preserve"> </w:t>
      </w:r>
      <w:r w:rsidR="004C0FCD" w:rsidRPr="00E35810">
        <w:rPr>
          <w:rFonts w:asciiTheme="minorHAnsi" w:hAnsiTheme="minorHAnsi" w:cstheme="minorHAnsi"/>
        </w:rPr>
        <w:t>[1989] 3 NZLR 158</w:t>
      </w:r>
      <w:r w:rsidR="00D0378A" w:rsidRPr="00E35810">
        <w:rPr>
          <w:rFonts w:asciiTheme="minorHAnsi" w:hAnsiTheme="minorHAnsi" w:cstheme="minorHAnsi"/>
        </w:rPr>
        <w:t xml:space="preserve"> (CA)</w:t>
      </w:r>
      <w:r w:rsidR="004C0FCD" w:rsidRPr="00E35810">
        <w:rPr>
          <w:rFonts w:asciiTheme="minorHAnsi" w:hAnsiTheme="minorHAnsi" w:cstheme="minorHAnsi"/>
        </w:rPr>
        <w:t>.</w:t>
      </w:r>
    </w:p>
  </w:footnote>
  <w:footnote w:id="29">
    <w:p w14:paraId="00EF732D" w14:textId="34A1EA9D" w:rsidR="00762E28" w:rsidRPr="00E35810" w:rsidRDefault="00762E28"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C07F43" w:rsidRPr="00E35810">
        <w:rPr>
          <w:rFonts w:asciiTheme="minorHAnsi" w:hAnsiTheme="minorHAnsi" w:cstheme="minorHAnsi"/>
        </w:rPr>
        <w:tab/>
      </w:r>
      <w:r w:rsidRPr="00E35810">
        <w:rPr>
          <w:rFonts w:asciiTheme="minorHAnsi" w:hAnsiTheme="minorHAnsi" w:cstheme="minorHAnsi"/>
        </w:rPr>
        <w:t>Per</w:t>
      </w:r>
      <w:r w:rsidR="00201F7D" w:rsidRPr="00E35810">
        <w:rPr>
          <w:rFonts w:asciiTheme="minorHAnsi" w:hAnsiTheme="minorHAnsi" w:cstheme="minorHAnsi"/>
        </w:rPr>
        <w:t xml:space="preserve"> Cooke P at 165</w:t>
      </w:r>
      <w:r w:rsidR="00D0378A" w:rsidRPr="00E35810">
        <w:rPr>
          <w:rFonts w:asciiTheme="minorHAnsi" w:hAnsiTheme="minorHAnsi" w:cstheme="minorHAnsi"/>
        </w:rPr>
        <w:t>;</w:t>
      </w:r>
      <w:r w:rsidR="00DF2691" w:rsidRPr="00E35810">
        <w:rPr>
          <w:rFonts w:asciiTheme="minorHAnsi" w:hAnsiTheme="minorHAnsi" w:cstheme="minorHAnsi"/>
        </w:rPr>
        <w:t xml:space="preserve"> </w:t>
      </w:r>
      <w:r w:rsidR="00201F7D" w:rsidRPr="00E35810">
        <w:rPr>
          <w:rFonts w:asciiTheme="minorHAnsi" w:hAnsiTheme="minorHAnsi" w:cstheme="minorHAnsi"/>
        </w:rPr>
        <w:t>and see</w:t>
      </w:r>
      <w:r w:rsidRPr="00E35810">
        <w:rPr>
          <w:rFonts w:asciiTheme="minorHAnsi" w:hAnsiTheme="minorHAnsi" w:cstheme="minorHAnsi"/>
        </w:rPr>
        <w:t xml:space="preserve"> </w:t>
      </w:r>
      <w:r w:rsidR="006D47F0" w:rsidRPr="00E35810">
        <w:rPr>
          <w:rFonts w:asciiTheme="minorHAnsi" w:hAnsiTheme="minorHAnsi" w:cstheme="minorHAnsi"/>
        </w:rPr>
        <w:t xml:space="preserve">also </w:t>
      </w:r>
      <w:r w:rsidRPr="00E35810">
        <w:rPr>
          <w:rFonts w:asciiTheme="minorHAnsi" w:hAnsiTheme="minorHAnsi" w:cstheme="minorHAnsi"/>
        </w:rPr>
        <w:t>Richardson J at</w:t>
      </w:r>
      <w:r w:rsidR="006D47F0" w:rsidRPr="00E35810">
        <w:rPr>
          <w:rFonts w:asciiTheme="minorHAnsi" w:hAnsiTheme="minorHAnsi" w:cstheme="minorHAnsi"/>
        </w:rPr>
        <w:t xml:space="preserve"> 174</w:t>
      </w:r>
      <w:r w:rsidRPr="00E35810">
        <w:rPr>
          <w:rFonts w:asciiTheme="minorHAnsi" w:hAnsiTheme="minorHAnsi" w:cstheme="minorHAnsi"/>
        </w:rPr>
        <w:t>.</w:t>
      </w:r>
    </w:p>
  </w:footnote>
  <w:footnote w:id="30">
    <w:p w14:paraId="7DA01B48" w14:textId="0FF150B2" w:rsidR="0089716D" w:rsidRPr="00E35810" w:rsidRDefault="0089716D"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C07F43" w:rsidRPr="00E35810">
        <w:rPr>
          <w:rFonts w:asciiTheme="minorHAnsi" w:hAnsiTheme="minorHAnsi" w:cstheme="minorHAnsi"/>
        </w:rPr>
        <w:tab/>
      </w:r>
      <w:r w:rsidR="00D47A3D" w:rsidRPr="00E35810">
        <w:rPr>
          <w:rFonts w:asciiTheme="minorHAnsi" w:hAnsiTheme="minorHAnsi" w:cstheme="minorHAnsi"/>
          <w:i/>
          <w:iCs/>
        </w:rPr>
        <w:t>Apple Fields Ltd</w:t>
      </w:r>
      <w:r w:rsidR="00826A18" w:rsidRPr="00E35810">
        <w:rPr>
          <w:rFonts w:asciiTheme="minorHAnsi" w:hAnsiTheme="minorHAnsi" w:cstheme="minorHAnsi"/>
        </w:rPr>
        <w:t xml:space="preserve">, above n </w:t>
      </w:r>
      <w:r w:rsidR="006C3599" w:rsidRPr="00E35810">
        <w:rPr>
          <w:rFonts w:asciiTheme="minorHAnsi" w:hAnsiTheme="minorHAnsi" w:cstheme="minorHAnsi"/>
        </w:rPr>
        <w:fldChar w:fldCharType="begin"/>
      </w:r>
      <w:r w:rsidR="006C3599" w:rsidRPr="00E35810">
        <w:rPr>
          <w:rFonts w:asciiTheme="minorHAnsi" w:hAnsiTheme="minorHAnsi" w:cstheme="minorHAnsi"/>
        </w:rPr>
        <w:instrText xml:space="preserve"> NOTEREF _Ref140922533 \h </w:instrText>
      </w:r>
      <w:r w:rsidR="00CA7C8B" w:rsidRPr="00E35810">
        <w:rPr>
          <w:rFonts w:asciiTheme="minorHAnsi" w:hAnsiTheme="minorHAnsi" w:cstheme="minorHAnsi"/>
        </w:rPr>
        <w:instrText xml:space="preserve"> \* MERGEFORMAT </w:instrText>
      </w:r>
      <w:r w:rsidR="006C3599" w:rsidRPr="00E35810">
        <w:rPr>
          <w:rFonts w:asciiTheme="minorHAnsi" w:hAnsiTheme="minorHAnsi" w:cstheme="minorHAnsi"/>
        </w:rPr>
      </w:r>
      <w:r w:rsidR="006C3599" w:rsidRPr="00E35810">
        <w:rPr>
          <w:rFonts w:asciiTheme="minorHAnsi" w:hAnsiTheme="minorHAnsi" w:cstheme="minorHAnsi"/>
        </w:rPr>
        <w:fldChar w:fldCharType="separate"/>
      </w:r>
      <w:r w:rsidR="000E1DCF" w:rsidRPr="00E35810">
        <w:rPr>
          <w:rFonts w:asciiTheme="minorHAnsi" w:hAnsiTheme="minorHAnsi" w:cstheme="minorHAnsi"/>
        </w:rPr>
        <w:t>23</w:t>
      </w:r>
      <w:r w:rsidR="006C3599" w:rsidRPr="00E35810">
        <w:rPr>
          <w:rFonts w:asciiTheme="minorHAnsi" w:hAnsiTheme="minorHAnsi" w:cstheme="minorHAnsi"/>
        </w:rPr>
        <w:fldChar w:fldCharType="end"/>
      </w:r>
      <w:r w:rsidR="00826A18" w:rsidRPr="00E35810">
        <w:rPr>
          <w:rFonts w:asciiTheme="minorHAnsi" w:hAnsiTheme="minorHAnsi" w:cstheme="minorHAnsi"/>
        </w:rPr>
        <w:t>,</w:t>
      </w:r>
      <w:r w:rsidR="001112A6" w:rsidRPr="00E35810">
        <w:rPr>
          <w:rFonts w:asciiTheme="minorHAnsi" w:hAnsiTheme="minorHAnsi" w:cstheme="minorHAnsi"/>
        </w:rPr>
        <w:t xml:space="preserve"> </w:t>
      </w:r>
      <w:r w:rsidRPr="00E35810">
        <w:rPr>
          <w:rFonts w:asciiTheme="minorHAnsi" w:hAnsiTheme="minorHAnsi" w:cstheme="minorHAnsi"/>
        </w:rPr>
        <w:t>at 265</w:t>
      </w:r>
      <w:r w:rsidR="006A38B0" w:rsidRPr="00E35810">
        <w:rPr>
          <w:rFonts w:asciiTheme="minorHAnsi" w:hAnsiTheme="minorHAnsi" w:cstheme="minorHAnsi"/>
        </w:rPr>
        <w:t>.</w:t>
      </w:r>
      <w:r w:rsidR="001112A6" w:rsidRPr="00E35810">
        <w:rPr>
          <w:rFonts w:asciiTheme="minorHAnsi" w:hAnsiTheme="minorHAnsi" w:cstheme="minorHAnsi"/>
        </w:rPr>
        <w:t xml:space="preserve"> </w:t>
      </w:r>
      <w:r w:rsidR="006D47F0" w:rsidRPr="00E35810">
        <w:rPr>
          <w:rFonts w:asciiTheme="minorHAnsi" w:hAnsiTheme="minorHAnsi" w:cstheme="minorHAnsi"/>
        </w:rPr>
        <w:t xml:space="preserve">Although not referred to by their </w:t>
      </w:r>
      <w:r w:rsidR="00C92B13" w:rsidRPr="00E35810">
        <w:rPr>
          <w:rFonts w:asciiTheme="minorHAnsi" w:hAnsiTheme="minorHAnsi" w:cstheme="minorHAnsi"/>
        </w:rPr>
        <w:t>L</w:t>
      </w:r>
      <w:r w:rsidR="006D47F0" w:rsidRPr="00E35810">
        <w:rPr>
          <w:rFonts w:asciiTheme="minorHAnsi" w:hAnsiTheme="minorHAnsi" w:cstheme="minorHAnsi"/>
        </w:rPr>
        <w:t xml:space="preserve">ordships, a majority in the Full Federal Court of Australia took a similarly narrow approach to the equivalent Australian provision in </w:t>
      </w:r>
      <w:r w:rsidR="006D47F0" w:rsidRPr="00E35810">
        <w:rPr>
          <w:rFonts w:asciiTheme="minorHAnsi" w:hAnsiTheme="minorHAnsi" w:cstheme="minorHAnsi"/>
          <w:i/>
          <w:iCs/>
        </w:rPr>
        <w:t>Re Ku-ring-gai Co-operative Building Society (No 12) Ltd</w:t>
      </w:r>
      <w:r w:rsidR="006D47F0" w:rsidRPr="00E35810">
        <w:rPr>
          <w:rFonts w:asciiTheme="minorHAnsi" w:hAnsiTheme="minorHAnsi" w:cstheme="minorHAnsi"/>
        </w:rPr>
        <w:t xml:space="preserve"> (1978) 22 ALR 621</w:t>
      </w:r>
      <w:r w:rsidR="004F4262" w:rsidRPr="00E35810">
        <w:rPr>
          <w:rFonts w:asciiTheme="minorHAnsi" w:hAnsiTheme="minorHAnsi" w:cstheme="minorHAnsi"/>
        </w:rPr>
        <w:t xml:space="preserve"> (FCA)</w:t>
      </w:r>
      <w:r w:rsidR="006D47F0" w:rsidRPr="00E35810">
        <w:rPr>
          <w:rFonts w:asciiTheme="minorHAnsi" w:hAnsiTheme="minorHAnsi" w:cstheme="minorHAnsi"/>
        </w:rPr>
        <w:t>.</w:t>
      </w:r>
      <w:r w:rsidR="00F93517" w:rsidRPr="00E35810">
        <w:rPr>
          <w:rFonts w:asciiTheme="minorHAnsi" w:hAnsiTheme="minorHAnsi" w:cstheme="minorHAnsi"/>
        </w:rPr>
        <w:t xml:space="preserve"> See also the discussion in </w:t>
      </w:r>
      <w:r w:rsidR="007B3EFE" w:rsidRPr="00E35810">
        <w:rPr>
          <w:rFonts w:asciiTheme="minorHAnsi" w:hAnsiTheme="minorHAnsi" w:cstheme="minorHAnsi"/>
        </w:rPr>
        <w:t>Yvonne v</w:t>
      </w:r>
      <w:r w:rsidR="00F93517" w:rsidRPr="00E35810">
        <w:rPr>
          <w:rFonts w:asciiTheme="minorHAnsi" w:hAnsiTheme="minorHAnsi" w:cstheme="minorHAnsi"/>
        </w:rPr>
        <w:t xml:space="preserve">an Roy </w:t>
      </w:r>
      <w:r w:rsidR="00C92B13" w:rsidRPr="00E35810">
        <w:rPr>
          <w:rFonts w:asciiTheme="minorHAnsi" w:hAnsiTheme="minorHAnsi" w:cstheme="minorHAnsi"/>
        </w:rPr>
        <w:t>“</w:t>
      </w:r>
      <w:r w:rsidR="00F93517" w:rsidRPr="00E35810">
        <w:rPr>
          <w:rFonts w:asciiTheme="minorHAnsi" w:hAnsiTheme="minorHAnsi" w:cstheme="minorHAnsi"/>
        </w:rPr>
        <w:t xml:space="preserve">Apple Fields and the Privy Council: s 43 of the Commerce Act 1986 </w:t>
      </w:r>
      <w:r w:rsidR="00E65649" w:rsidRPr="00E35810">
        <w:rPr>
          <w:rFonts w:asciiTheme="minorHAnsi" w:hAnsiTheme="minorHAnsi" w:cstheme="minorHAnsi"/>
        </w:rPr>
        <w:t>r</w:t>
      </w:r>
      <w:r w:rsidR="00F93517" w:rsidRPr="00E35810">
        <w:rPr>
          <w:rFonts w:asciiTheme="minorHAnsi" w:hAnsiTheme="minorHAnsi" w:cstheme="minorHAnsi"/>
        </w:rPr>
        <w:t>evisited</w:t>
      </w:r>
      <w:r w:rsidR="00C92B13" w:rsidRPr="00E35810">
        <w:rPr>
          <w:rFonts w:asciiTheme="minorHAnsi" w:hAnsiTheme="minorHAnsi" w:cstheme="minorHAnsi"/>
        </w:rPr>
        <w:t>”</w:t>
      </w:r>
      <w:r w:rsidR="00F93517" w:rsidRPr="00E35810">
        <w:rPr>
          <w:rFonts w:asciiTheme="minorHAnsi" w:hAnsiTheme="minorHAnsi" w:cstheme="minorHAnsi"/>
        </w:rPr>
        <w:t xml:space="preserve"> [1991] NZLJ</w:t>
      </w:r>
      <w:r w:rsidR="00066E38" w:rsidRPr="00E35810">
        <w:rPr>
          <w:rFonts w:asciiTheme="minorHAnsi" w:hAnsiTheme="minorHAnsi" w:cstheme="minorHAnsi"/>
        </w:rPr>
        <w:t xml:space="preserve"> 166.</w:t>
      </w:r>
    </w:p>
  </w:footnote>
  <w:footnote w:id="31">
    <w:p w14:paraId="0F84F986" w14:textId="2F3E8EB2" w:rsidR="00466128" w:rsidRPr="00E35810" w:rsidRDefault="00466128"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C07F43" w:rsidRPr="00E35810">
        <w:rPr>
          <w:rFonts w:asciiTheme="minorHAnsi" w:hAnsiTheme="minorHAnsi" w:cstheme="minorHAnsi"/>
        </w:rPr>
        <w:tab/>
      </w:r>
      <w:r w:rsidR="00A82D83" w:rsidRPr="00E35810">
        <w:rPr>
          <w:rFonts w:asciiTheme="minorHAnsi" w:hAnsiTheme="minorHAnsi" w:cstheme="minorHAnsi"/>
        </w:rPr>
        <w:t xml:space="preserve">Section </w:t>
      </w:r>
      <w:r w:rsidR="006A38B0" w:rsidRPr="00E35810">
        <w:rPr>
          <w:rFonts w:asciiTheme="minorHAnsi" w:hAnsiTheme="minorHAnsi" w:cstheme="minorHAnsi"/>
        </w:rPr>
        <w:t>44</w:t>
      </w:r>
      <w:r w:rsidRPr="00E35810">
        <w:rPr>
          <w:rFonts w:asciiTheme="minorHAnsi" w:hAnsiTheme="minorHAnsi" w:cstheme="minorHAnsi"/>
        </w:rPr>
        <w:t>.</w:t>
      </w:r>
    </w:p>
  </w:footnote>
  <w:footnote w:id="32">
    <w:p w14:paraId="09AFF5A6" w14:textId="1ABBC203" w:rsidR="00CB403F" w:rsidRPr="00E35810" w:rsidRDefault="00CB403F"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C07F43" w:rsidRPr="00E35810">
        <w:rPr>
          <w:rFonts w:asciiTheme="minorHAnsi" w:hAnsiTheme="minorHAnsi" w:cstheme="minorHAnsi"/>
        </w:rPr>
        <w:tab/>
      </w:r>
      <w:r w:rsidRPr="00E35810">
        <w:rPr>
          <w:rFonts w:asciiTheme="minorHAnsi" w:hAnsiTheme="minorHAnsi" w:cstheme="minorHAnsi"/>
        </w:rPr>
        <w:t>Screen Industry Workers Act 2022</w:t>
      </w:r>
      <w:r w:rsidR="006A38B0" w:rsidRPr="00E35810">
        <w:rPr>
          <w:rFonts w:asciiTheme="minorHAnsi" w:hAnsiTheme="minorHAnsi" w:cstheme="minorHAnsi"/>
        </w:rPr>
        <w:t>, s 7</w:t>
      </w:r>
      <w:r w:rsidRPr="00E35810">
        <w:rPr>
          <w:rFonts w:asciiTheme="minorHAnsi" w:hAnsiTheme="minorHAnsi" w:cstheme="minorHAnsi"/>
        </w:rPr>
        <w:t>.</w:t>
      </w:r>
    </w:p>
  </w:footnote>
  <w:footnote w:id="33">
    <w:p w14:paraId="48F3DE16" w14:textId="7A1881BE" w:rsidR="00AD471A" w:rsidRPr="00E35810" w:rsidRDefault="00AD471A"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C07F43" w:rsidRPr="00E35810">
        <w:rPr>
          <w:rFonts w:asciiTheme="minorHAnsi" w:hAnsiTheme="minorHAnsi" w:cstheme="minorHAnsi"/>
        </w:rPr>
        <w:tab/>
      </w:r>
      <w:r w:rsidRPr="00E35810">
        <w:rPr>
          <w:rFonts w:asciiTheme="minorHAnsi" w:hAnsiTheme="minorHAnsi" w:cstheme="minorHAnsi"/>
        </w:rPr>
        <w:t>This would include</w:t>
      </w:r>
      <w:r w:rsidR="00323954" w:rsidRPr="00E35810">
        <w:rPr>
          <w:rFonts w:asciiTheme="minorHAnsi" w:hAnsiTheme="minorHAnsi" w:cstheme="minorHAnsi"/>
        </w:rPr>
        <w:t xml:space="preserve"> the</w:t>
      </w:r>
      <w:r w:rsidRPr="00E35810">
        <w:rPr>
          <w:rFonts w:asciiTheme="minorHAnsi" w:hAnsiTheme="minorHAnsi" w:cstheme="minorHAnsi"/>
        </w:rPr>
        <w:t xml:space="preserve"> Retail Payment Systems Act 2022,</w:t>
      </w:r>
      <w:r w:rsidR="006A38B0" w:rsidRPr="00E35810">
        <w:rPr>
          <w:rFonts w:asciiTheme="minorHAnsi" w:hAnsiTheme="minorHAnsi" w:cstheme="minorHAnsi"/>
        </w:rPr>
        <w:t xml:space="preserve"> s</w:t>
      </w:r>
      <w:r w:rsidR="00C92B13" w:rsidRPr="00E35810">
        <w:rPr>
          <w:rFonts w:asciiTheme="minorHAnsi" w:hAnsiTheme="minorHAnsi" w:cstheme="minorHAnsi"/>
        </w:rPr>
        <w:t xml:space="preserve"> </w:t>
      </w:r>
      <w:r w:rsidR="006A38B0" w:rsidRPr="00E35810">
        <w:rPr>
          <w:rFonts w:asciiTheme="minorHAnsi" w:hAnsiTheme="minorHAnsi" w:cstheme="minorHAnsi"/>
        </w:rPr>
        <w:t xml:space="preserve">52; </w:t>
      </w:r>
      <w:r w:rsidRPr="00E35810">
        <w:rPr>
          <w:rFonts w:asciiTheme="minorHAnsi" w:hAnsiTheme="minorHAnsi" w:cstheme="minorHAnsi"/>
        </w:rPr>
        <w:t xml:space="preserve">Electricity Industry Act 2010, </w:t>
      </w:r>
      <w:r w:rsidR="006A38B0" w:rsidRPr="00E35810">
        <w:rPr>
          <w:rFonts w:asciiTheme="minorHAnsi" w:hAnsiTheme="minorHAnsi" w:cstheme="minorHAnsi"/>
        </w:rPr>
        <w:t xml:space="preserve">s 130; </w:t>
      </w:r>
      <w:r w:rsidRPr="00E35810">
        <w:rPr>
          <w:rFonts w:asciiTheme="minorHAnsi" w:hAnsiTheme="minorHAnsi" w:cstheme="minorHAnsi"/>
        </w:rPr>
        <w:t>Telecommunications Act 2001,</w:t>
      </w:r>
      <w:r w:rsidR="006A38B0" w:rsidRPr="00E35810">
        <w:rPr>
          <w:rFonts w:asciiTheme="minorHAnsi" w:hAnsiTheme="minorHAnsi" w:cstheme="minorHAnsi"/>
        </w:rPr>
        <w:t xml:space="preserve"> ss 63, 78, 156AZC and 156AZF;</w:t>
      </w:r>
      <w:r w:rsidRPr="00E35810">
        <w:rPr>
          <w:rFonts w:asciiTheme="minorHAnsi" w:hAnsiTheme="minorHAnsi" w:cstheme="minorHAnsi"/>
        </w:rPr>
        <w:t xml:space="preserve"> and Gas Act 1992</w:t>
      </w:r>
      <w:r w:rsidR="006A38B0" w:rsidRPr="00E35810">
        <w:rPr>
          <w:rFonts w:asciiTheme="minorHAnsi" w:hAnsiTheme="minorHAnsi" w:cstheme="minorHAnsi"/>
        </w:rPr>
        <w:t>, s 43ZZR</w:t>
      </w:r>
      <w:r w:rsidRPr="00E35810">
        <w:rPr>
          <w:rFonts w:asciiTheme="minorHAnsi" w:hAnsiTheme="minorHAnsi" w:cstheme="minorHAnsi"/>
        </w:rPr>
        <w:t>.</w:t>
      </w:r>
    </w:p>
  </w:footnote>
  <w:footnote w:id="34">
    <w:p w14:paraId="5ADBA52B" w14:textId="0414CF80" w:rsidR="003D1473" w:rsidRPr="00E35810" w:rsidRDefault="003D1473"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C07F43" w:rsidRPr="00E35810">
        <w:rPr>
          <w:rFonts w:asciiTheme="minorHAnsi" w:hAnsiTheme="minorHAnsi" w:cstheme="minorHAnsi"/>
        </w:rPr>
        <w:tab/>
      </w:r>
      <w:r w:rsidRPr="00E35810">
        <w:rPr>
          <w:rFonts w:asciiTheme="minorHAnsi" w:hAnsiTheme="minorHAnsi" w:cstheme="minorHAnsi"/>
        </w:rPr>
        <w:t>Fisheries Act 1996</w:t>
      </w:r>
      <w:r w:rsidR="006A38B0" w:rsidRPr="00E35810">
        <w:rPr>
          <w:rFonts w:asciiTheme="minorHAnsi" w:hAnsiTheme="minorHAnsi" w:cstheme="minorHAnsi"/>
        </w:rPr>
        <w:t>, s 296C</w:t>
      </w:r>
      <w:r w:rsidR="00F01693" w:rsidRPr="00E35810">
        <w:rPr>
          <w:rFonts w:asciiTheme="minorHAnsi" w:hAnsiTheme="minorHAnsi" w:cstheme="minorHAnsi"/>
        </w:rPr>
        <w:t>.</w:t>
      </w:r>
    </w:p>
  </w:footnote>
  <w:footnote w:id="35">
    <w:p w14:paraId="166C5BCD" w14:textId="4109086F" w:rsidR="003D1473" w:rsidRPr="00E35810" w:rsidRDefault="003D1473"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C07F43" w:rsidRPr="00E35810">
        <w:rPr>
          <w:rFonts w:asciiTheme="minorHAnsi" w:hAnsiTheme="minorHAnsi" w:cstheme="minorHAnsi"/>
        </w:rPr>
        <w:tab/>
      </w:r>
      <w:r w:rsidRPr="00E35810">
        <w:rPr>
          <w:rFonts w:asciiTheme="minorHAnsi" w:hAnsiTheme="minorHAnsi" w:cstheme="minorHAnsi"/>
        </w:rPr>
        <w:t>Accident Compensation Act 2011</w:t>
      </w:r>
      <w:r w:rsidR="006A38B0" w:rsidRPr="00E35810">
        <w:rPr>
          <w:rFonts w:asciiTheme="minorHAnsi" w:hAnsiTheme="minorHAnsi" w:cstheme="minorHAnsi"/>
        </w:rPr>
        <w:t>, s 305</w:t>
      </w:r>
      <w:r w:rsidR="00F01693" w:rsidRPr="00E35810">
        <w:rPr>
          <w:rFonts w:asciiTheme="minorHAnsi" w:hAnsiTheme="minorHAnsi" w:cstheme="minorHAnsi"/>
        </w:rPr>
        <w:t>.</w:t>
      </w:r>
    </w:p>
  </w:footnote>
  <w:footnote w:id="36">
    <w:p w14:paraId="1A19303F" w14:textId="5E1F86AF" w:rsidR="00B408F7" w:rsidRPr="00E35810" w:rsidRDefault="00B408F7"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C07F43" w:rsidRPr="00E35810">
        <w:rPr>
          <w:rFonts w:asciiTheme="minorHAnsi" w:hAnsiTheme="minorHAnsi" w:cstheme="minorHAnsi"/>
        </w:rPr>
        <w:tab/>
      </w:r>
      <w:r w:rsidRPr="00E35810">
        <w:rPr>
          <w:rFonts w:asciiTheme="minorHAnsi" w:hAnsiTheme="minorHAnsi" w:cstheme="minorHAnsi"/>
        </w:rPr>
        <w:t>Pae Ora (Healthy Futures) Act 2022</w:t>
      </w:r>
      <w:r w:rsidR="006A38B0" w:rsidRPr="00E35810">
        <w:rPr>
          <w:rFonts w:asciiTheme="minorHAnsi" w:hAnsiTheme="minorHAnsi" w:cstheme="minorHAnsi"/>
        </w:rPr>
        <w:t>, s 74</w:t>
      </w:r>
      <w:r w:rsidR="00F01693" w:rsidRPr="00E35810">
        <w:rPr>
          <w:rFonts w:asciiTheme="minorHAnsi" w:hAnsiTheme="minorHAnsi" w:cstheme="minorHAnsi"/>
        </w:rPr>
        <w:t>.</w:t>
      </w:r>
    </w:p>
  </w:footnote>
  <w:footnote w:id="37">
    <w:p w14:paraId="57E3A51F" w14:textId="5F726A5F" w:rsidR="00AC50B8" w:rsidRPr="00E35810" w:rsidRDefault="00AC50B8"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C07F43" w:rsidRPr="00E35810">
        <w:rPr>
          <w:rFonts w:asciiTheme="minorHAnsi" w:hAnsiTheme="minorHAnsi" w:cstheme="minorHAnsi"/>
        </w:rPr>
        <w:tab/>
      </w:r>
      <w:r w:rsidRPr="00E35810">
        <w:rPr>
          <w:rFonts w:asciiTheme="minorHAnsi" w:hAnsiTheme="minorHAnsi" w:cstheme="minorHAnsi"/>
        </w:rPr>
        <w:t>Land Transport Management Act 2003</w:t>
      </w:r>
      <w:r w:rsidR="006A38B0" w:rsidRPr="00E35810">
        <w:rPr>
          <w:rFonts w:asciiTheme="minorHAnsi" w:hAnsiTheme="minorHAnsi" w:cstheme="minorHAnsi"/>
        </w:rPr>
        <w:t>, s 95</w:t>
      </w:r>
      <w:r w:rsidR="00F01693" w:rsidRPr="00E35810">
        <w:rPr>
          <w:rFonts w:asciiTheme="minorHAnsi" w:hAnsiTheme="minorHAnsi" w:cstheme="minorHAnsi"/>
        </w:rPr>
        <w:t>.</w:t>
      </w:r>
    </w:p>
  </w:footnote>
  <w:footnote w:id="38">
    <w:p w14:paraId="3B30A6F0" w14:textId="31843450" w:rsidR="00B96376" w:rsidRPr="00E35810" w:rsidRDefault="00B96376"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C07F43" w:rsidRPr="00E35810">
        <w:rPr>
          <w:rFonts w:asciiTheme="minorHAnsi" w:hAnsiTheme="minorHAnsi" w:cstheme="minorHAnsi"/>
        </w:rPr>
        <w:tab/>
      </w:r>
      <w:r w:rsidRPr="00E35810">
        <w:rPr>
          <w:rFonts w:asciiTheme="minorHAnsi" w:hAnsiTheme="minorHAnsi" w:cstheme="minorHAnsi"/>
        </w:rPr>
        <w:t>Human Tissue Act 2008</w:t>
      </w:r>
      <w:r w:rsidR="006A38B0" w:rsidRPr="00E35810">
        <w:rPr>
          <w:rFonts w:asciiTheme="minorHAnsi" w:hAnsiTheme="minorHAnsi" w:cstheme="minorHAnsi"/>
        </w:rPr>
        <w:t>, s 64</w:t>
      </w:r>
      <w:r w:rsidR="00F01693" w:rsidRPr="00E35810">
        <w:rPr>
          <w:rFonts w:asciiTheme="minorHAnsi" w:hAnsiTheme="minorHAnsi" w:cstheme="minorHAnsi"/>
        </w:rPr>
        <w:t>.</w:t>
      </w:r>
    </w:p>
  </w:footnote>
  <w:footnote w:id="39">
    <w:p w14:paraId="3455E3B3" w14:textId="0DF51CCE" w:rsidR="00745B98" w:rsidRPr="00E35810" w:rsidRDefault="00745B98"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C07F43" w:rsidRPr="00E35810">
        <w:rPr>
          <w:rFonts w:asciiTheme="minorHAnsi" w:hAnsiTheme="minorHAnsi" w:cstheme="minorHAnsi"/>
        </w:rPr>
        <w:tab/>
      </w:r>
      <w:r w:rsidRPr="00E35810">
        <w:rPr>
          <w:rFonts w:asciiTheme="minorHAnsi" w:hAnsiTheme="minorHAnsi" w:cstheme="minorHAnsi"/>
        </w:rPr>
        <w:t xml:space="preserve">Pork Industry Board Act </w:t>
      </w:r>
      <w:r w:rsidR="00BA51B8" w:rsidRPr="00E35810">
        <w:rPr>
          <w:rFonts w:asciiTheme="minorHAnsi" w:hAnsiTheme="minorHAnsi" w:cstheme="minorHAnsi"/>
        </w:rPr>
        <w:t>1997,</w:t>
      </w:r>
      <w:r w:rsidRPr="00E35810">
        <w:rPr>
          <w:rFonts w:asciiTheme="minorHAnsi" w:hAnsiTheme="minorHAnsi" w:cstheme="minorHAnsi"/>
        </w:rPr>
        <w:t xml:space="preserve"> </w:t>
      </w:r>
      <w:r w:rsidR="006A38B0" w:rsidRPr="00E35810">
        <w:rPr>
          <w:rFonts w:asciiTheme="minorHAnsi" w:hAnsiTheme="minorHAnsi" w:cstheme="minorHAnsi"/>
        </w:rPr>
        <w:t xml:space="preserve">s 14 </w:t>
      </w:r>
      <w:r w:rsidRPr="00E35810">
        <w:rPr>
          <w:rFonts w:asciiTheme="minorHAnsi" w:hAnsiTheme="minorHAnsi" w:cstheme="minorHAnsi"/>
        </w:rPr>
        <w:t>and Meat Board Act 2004</w:t>
      </w:r>
      <w:r w:rsidR="006A38B0" w:rsidRPr="00E35810">
        <w:rPr>
          <w:rFonts w:asciiTheme="minorHAnsi" w:hAnsiTheme="minorHAnsi" w:cstheme="minorHAnsi"/>
        </w:rPr>
        <w:t>, s 14</w:t>
      </w:r>
      <w:r w:rsidR="00F01693" w:rsidRPr="00E35810">
        <w:rPr>
          <w:rFonts w:asciiTheme="minorHAnsi" w:hAnsiTheme="minorHAnsi" w:cstheme="minorHAnsi"/>
        </w:rPr>
        <w:t>.</w:t>
      </w:r>
    </w:p>
  </w:footnote>
  <w:footnote w:id="40">
    <w:p w14:paraId="73CEB043" w14:textId="25B17188" w:rsidR="009908DC" w:rsidRPr="00E35810" w:rsidRDefault="009908DC"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C07F43" w:rsidRPr="00E35810">
        <w:rPr>
          <w:rFonts w:asciiTheme="minorHAnsi" w:hAnsiTheme="minorHAnsi" w:cstheme="minorHAnsi"/>
        </w:rPr>
        <w:tab/>
      </w:r>
      <w:r w:rsidRPr="00E35810">
        <w:rPr>
          <w:rFonts w:asciiTheme="minorHAnsi" w:hAnsiTheme="minorHAnsi" w:cstheme="minorHAnsi"/>
        </w:rPr>
        <w:t>Education and Training Act 2020</w:t>
      </w:r>
      <w:r w:rsidR="006A38B0" w:rsidRPr="00E35810">
        <w:rPr>
          <w:rFonts w:asciiTheme="minorHAnsi" w:hAnsiTheme="minorHAnsi" w:cstheme="minorHAnsi"/>
        </w:rPr>
        <w:t>, s 517</w:t>
      </w:r>
      <w:r w:rsidR="00F01693" w:rsidRPr="00E35810">
        <w:rPr>
          <w:rFonts w:asciiTheme="minorHAnsi" w:hAnsiTheme="minorHAnsi" w:cstheme="minorHAnsi"/>
        </w:rPr>
        <w:t>.</w:t>
      </w:r>
    </w:p>
  </w:footnote>
  <w:footnote w:id="41">
    <w:p w14:paraId="0A6DF72E" w14:textId="0F5ED205" w:rsidR="00FB5CC9" w:rsidRPr="00E35810" w:rsidRDefault="00FB5CC9"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C07F43" w:rsidRPr="00E35810">
        <w:rPr>
          <w:rFonts w:asciiTheme="minorHAnsi" w:hAnsiTheme="minorHAnsi" w:cstheme="minorHAnsi"/>
        </w:rPr>
        <w:tab/>
      </w:r>
      <w:r w:rsidR="006E3010" w:rsidRPr="00E35810">
        <w:rPr>
          <w:rFonts w:asciiTheme="minorHAnsi" w:hAnsiTheme="minorHAnsi" w:cstheme="minorHAnsi"/>
        </w:rPr>
        <w:t>Commerce Act</w:t>
      </w:r>
      <w:r w:rsidR="006A38B0" w:rsidRPr="00E35810">
        <w:rPr>
          <w:rFonts w:asciiTheme="minorHAnsi" w:hAnsiTheme="minorHAnsi" w:cstheme="minorHAnsi"/>
        </w:rPr>
        <w:t xml:space="preserve">, </w:t>
      </w:r>
      <w:r w:rsidR="00323954" w:rsidRPr="00E35810">
        <w:rPr>
          <w:rFonts w:asciiTheme="minorHAnsi" w:hAnsiTheme="minorHAnsi" w:cstheme="minorHAnsi"/>
        </w:rPr>
        <w:t xml:space="preserve">s </w:t>
      </w:r>
      <w:r w:rsidR="006A38B0" w:rsidRPr="00E35810">
        <w:rPr>
          <w:rFonts w:asciiTheme="minorHAnsi" w:hAnsiTheme="minorHAnsi" w:cstheme="minorHAnsi"/>
        </w:rPr>
        <w:t>61</w:t>
      </w:r>
      <w:r w:rsidR="006E3010" w:rsidRPr="00E35810">
        <w:rPr>
          <w:rFonts w:asciiTheme="minorHAnsi" w:hAnsiTheme="minorHAnsi" w:cstheme="minorHAnsi"/>
        </w:rPr>
        <w:t>.</w:t>
      </w:r>
    </w:p>
  </w:footnote>
  <w:footnote w:id="42">
    <w:p w14:paraId="2FCF6991" w14:textId="43ABD2B9" w:rsidR="00EB44F1" w:rsidRPr="00E35810" w:rsidRDefault="00EB44F1"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C07F43" w:rsidRPr="00E35810">
        <w:rPr>
          <w:rFonts w:asciiTheme="minorHAnsi" w:hAnsiTheme="minorHAnsi" w:cstheme="minorHAnsi"/>
        </w:rPr>
        <w:tab/>
      </w:r>
      <w:r w:rsidRPr="00E35810">
        <w:rPr>
          <w:rFonts w:asciiTheme="minorHAnsi" w:hAnsiTheme="minorHAnsi" w:cstheme="minorHAnsi"/>
        </w:rPr>
        <w:t>Commerce Act</w:t>
      </w:r>
      <w:r w:rsidR="006A38B0" w:rsidRPr="00E35810">
        <w:rPr>
          <w:rFonts w:asciiTheme="minorHAnsi" w:hAnsiTheme="minorHAnsi" w:cstheme="minorHAnsi"/>
        </w:rPr>
        <w:t>, s 58A</w:t>
      </w:r>
      <w:r w:rsidRPr="00E35810">
        <w:rPr>
          <w:rFonts w:asciiTheme="minorHAnsi" w:hAnsiTheme="minorHAnsi" w:cstheme="minorHAnsi"/>
        </w:rPr>
        <w:t>.</w:t>
      </w:r>
    </w:p>
  </w:footnote>
  <w:footnote w:id="43">
    <w:p w14:paraId="61EE76D6" w14:textId="270BD87E" w:rsidR="00905001" w:rsidRPr="00E35810" w:rsidRDefault="00905001"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001112A6" w:rsidRPr="00E35810">
        <w:rPr>
          <w:rFonts w:asciiTheme="minorHAnsi" w:hAnsiTheme="minorHAnsi" w:cstheme="minorHAnsi"/>
        </w:rPr>
        <w:t xml:space="preserve"> </w:t>
      </w:r>
      <w:r w:rsidR="00C07F43" w:rsidRPr="00E35810">
        <w:rPr>
          <w:rFonts w:asciiTheme="minorHAnsi" w:hAnsiTheme="minorHAnsi" w:cstheme="minorHAnsi"/>
        </w:rPr>
        <w:tab/>
      </w:r>
      <w:r w:rsidR="00E82BFD" w:rsidRPr="00E35810">
        <w:rPr>
          <w:rFonts w:asciiTheme="minorHAnsi" w:hAnsiTheme="minorHAnsi" w:cstheme="minorHAnsi"/>
          <w:i/>
          <w:iCs/>
        </w:rPr>
        <w:t xml:space="preserve">The </w:t>
      </w:r>
      <w:r w:rsidRPr="00E35810">
        <w:rPr>
          <w:rFonts w:asciiTheme="minorHAnsi" w:hAnsiTheme="minorHAnsi" w:cstheme="minorHAnsi"/>
          <w:i/>
          <w:iCs/>
        </w:rPr>
        <w:t>New Zealand Racing Board</w:t>
      </w:r>
      <w:r w:rsidRPr="00E35810">
        <w:rPr>
          <w:rFonts w:asciiTheme="minorHAnsi" w:hAnsiTheme="minorHAnsi" w:cstheme="minorHAnsi"/>
        </w:rPr>
        <w:t xml:space="preserve"> [2016] NZCC 17.</w:t>
      </w:r>
    </w:p>
  </w:footnote>
  <w:footnote w:id="44">
    <w:p w14:paraId="1451D400" w14:textId="0C7D200F" w:rsidR="00905001" w:rsidRPr="00E35810" w:rsidRDefault="00905001"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C07F43" w:rsidRPr="00E35810">
        <w:rPr>
          <w:rFonts w:asciiTheme="minorHAnsi" w:hAnsiTheme="minorHAnsi" w:cstheme="minorHAnsi"/>
        </w:rPr>
        <w:tab/>
      </w:r>
      <w:r w:rsidRPr="00E35810">
        <w:rPr>
          <w:rFonts w:asciiTheme="minorHAnsi" w:hAnsiTheme="minorHAnsi" w:cstheme="minorHAnsi"/>
          <w:i/>
          <w:iCs/>
        </w:rPr>
        <w:t xml:space="preserve">Electricity Market Company </w:t>
      </w:r>
      <w:r w:rsidR="00E82BFD" w:rsidRPr="00E35810">
        <w:rPr>
          <w:rFonts w:asciiTheme="minorHAnsi" w:hAnsiTheme="minorHAnsi" w:cstheme="minorHAnsi"/>
          <w:i/>
          <w:iCs/>
        </w:rPr>
        <w:t>Ltd</w:t>
      </w:r>
      <w:r w:rsidRPr="00E35810">
        <w:rPr>
          <w:rFonts w:asciiTheme="minorHAnsi" w:hAnsiTheme="minorHAnsi" w:cstheme="minorHAnsi"/>
          <w:i/>
          <w:iCs/>
        </w:rPr>
        <w:t xml:space="preserve">, Electricity Corporation of New Zealand </w:t>
      </w:r>
      <w:r w:rsidR="00E82BFD" w:rsidRPr="00E35810">
        <w:rPr>
          <w:rFonts w:asciiTheme="minorHAnsi" w:hAnsiTheme="minorHAnsi" w:cstheme="minorHAnsi"/>
          <w:i/>
          <w:iCs/>
        </w:rPr>
        <w:t>Ltd</w:t>
      </w:r>
      <w:r w:rsidRPr="00E35810">
        <w:rPr>
          <w:rFonts w:asciiTheme="minorHAnsi" w:hAnsiTheme="minorHAnsi" w:cstheme="minorHAnsi"/>
          <w:i/>
          <w:iCs/>
        </w:rPr>
        <w:t xml:space="preserve">, Contact Energy </w:t>
      </w:r>
      <w:r w:rsidR="00E82BFD" w:rsidRPr="00E35810">
        <w:rPr>
          <w:rFonts w:asciiTheme="minorHAnsi" w:hAnsiTheme="minorHAnsi" w:cstheme="minorHAnsi"/>
          <w:i/>
          <w:iCs/>
        </w:rPr>
        <w:t>Ltd</w:t>
      </w:r>
      <w:r w:rsidRPr="00E35810">
        <w:rPr>
          <w:rFonts w:asciiTheme="minorHAnsi" w:hAnsiTheme="minorHAnsi" w:cstheme="minorHAnsi"/>
        </w:rPr>
        <w:t xml:space="preserve"> </w:t>
      </w:r>
      <w:r w:rsidR="00E82BFD" w:rsidRPr="00E35810">
        <w:rPr>
          <w:rFonts w:asciiTheme="minorHAnsi" w:hAnsiTheme="minorHAnsi" w:cstheme="minorHAnsi"/>
        </w:rPr>
        <w:t xml:space="preserve">NZCC Decision No 277, </w:t>
      </w:r>
      <w:r w:rsidRPr="00E35810">
        <w:rPr>
          <w:rFonts w:asciiTheme="minorHAnsi" w:hAnsiTheme="minorHAnsi" w:cstheme="minorHAnsi"/>
        </w:rPr>
        <w:t>21 November 1995.</w:t>
      </w:r>
    </w:p>
  </w:footnote>
  <w:footnote w:id="45">
    <w:p w14:paraId="223EB8D4" w14:textId="389606AE" w:rsidR="00905001" w:rsidRPr="00E35810" w:rsidRDefault="00905001"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C07F43" w:rsidRPr="00E35810">
        <w:rPr>
          <w:rFonts w:asciiTheme="minorHAnsi" w:hAnsiTheme="minorHAnsi" w:cstheme="minorHAnsi"/>
        </w:rPr>
        <w:tab/>
      </w:r>
      <w:r w:rsidRPr="00E35810">
        <w:rPr>
          <w:rFonts w:asciiTheme="minorHAnsi" w:hAnsiTheme="minorHAnsi" w:cstheme="minorHAnsi"/>
          <w:i/>
          <w:iCs/>
        </w:rPr>
        <w:t xml:space="preserve">Midland Regional Health Authority, Health Waikato </w:t>
      </w:r>
      <w:r w:rsidR="00E82BFD" w:rsidRPr="00E35810">
        <w:rPr>
          <w:rFonts w:asciiTheme="minorHAnsi" w:hAnsiTheme="minorHAnsi" w:cstheme="minorHAnsi"/>
          <w:i/>
          <w:iCs/>
        </w:rPr>
        <w:t>Ltd</w:t>
      </w:r>
      <w:r w:rsidR="001112A6" w:rsidRPr="00E35810">
        <w:rPr>
          <w:rFonts w:asciiTheme="minorHAnsi" w:hAnsiTheme="minorHAnsi" w:cstheme="minorHAnsi"/>
        </w:rPr>
        <w:t xml:space="preserve"> </w:t>
      </w:r>
      <w:r w:rsidR="00E82BFD" w:rsidRPr="00E35810">
        <w:rPr>
          <w:rFonts w:asciiTheme="minorHAnsi" w:hAnsiTheme="minorHAnsi" w:cstheme="minorHAnsi"/>
        </w:rPr>
        <w:t xml:space="preserve">NZCC </w:t>
      </w:r>
      <w:r w:rsidRPr="00E35810">
        <w:rPr>
          <w:rFonts w:asciiTheme="minorHAnsi" w:hAnsiTheme="minorHAnsi" w:cstheme="minorHAnsi"/>
        </w:rPr>
        <w:t xml:space="preserve">Decision </w:t>
      </w:r>
      <w:r w:rsidR="00E82BFD" w:rsidRPr="00E35810">
        <w:rPr>
          <w:rFonts w:asciiTheme="minorHAnsi" w:hAnsiTheme="minorHAnsi" w:cstheme="minorHAnsi"/>
        </w:rPr>
        <w:t xml:space="preserve">No </w:t>
      </w:r>
      <w:r w:rsidRPr="00E35810">
        <w:rPr>
          <w:rFonts w:asciiTheme="minorHAnsi" w:hAnsiTheme="minorHAnsi" w:cstheme="minorHAnsi"/>
        </w:rPr>
        <w:t>275, 1 August 1995. The Central Regional Health Authority also filed an application related to the joint acquisition of liver transplant services on 3 February 1997, and withdrew it on 4 April 1997.</w:t>
      </w:r>
    </w:p>
  </w:footnote>
  <w:footnote w:id="46">
    <w:p w14:paraId="5B4552AA" w14:textId="49C5685A" w:rsidR="00905001" w:rsidRPr="00E35810" w:rsidRDefault="00905001"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C07F43" w:rsidRPr="00E35810">
        <w:rPr>
          <w:rFonts w:asciiTheme="minorHAnsi" w:hAnsiTheme="minorHAnsi" w:cstheme="minorHAnsi"/>
        </w:rPr>
        <w:tab/>
      </w:r>
      <w:r w:rsidRPr="00E35810">
        <w:rPr>
          <w:rFonts w:asciiTheme="minorHAnsi" w:hAnsiTheme="minorHAnsi" w:cstheme="minorHAnsi"/>
        </w:rPr>
        <w:t>The Minister of Transport and New Zealand Post filed an application related to an exclusive dealing contract for personalised plates the joint acquisition of liver transplant services on 17 December 1987, and withdrew it on 18 January 1989.</w:t>
      </w:r>
    </w:p>
  </w:footnote>
  <w:footnote w:id="47">
    <w:p w14:paraId="2E2491E4" w14:textId="7765000D" w:rsidR="00C35BBD" w:rsidRPr="00E35810" w:rsidRDefault="00C35BBD"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C07F43" w:rsidRPr="00E35810">
        <w:rPr>
          <w:rFonts w:asciiTheme="minorHAnsi" w:hAnsiTheme="minorHAnsi" w:cstheme="minorHAnsi"/>
        </w:rPr>
        <w:tab/>
      </w:r>
      <w:r w:rsidR="004B3515" w:rsidRPr="00E35810">
        <w:rPr>
          <w:rFonts w:asciiTheme="minorHAnsi" w:hAnsiTheme="minorHAnsi" w:cstheme="minorHAnsi"/>
          <w:i/>
          <w:iCs/>
        </w:rPr>
        <w:t>NZME Ltd v Commerce Commission</w:t>
      </w:r>
      <w:r w:rsidR="004B3515" w:rsidRPr="00E35810">
        <w:rPr>
          <w:rFonts w:asciiTheme="minorHAnsi" w:hAnsiTheme="minorHAnsi" w:cstheme="minorHAnsi"/>
        </w:rPr>
        <w:t xml:space="preserve"> [2018] NZCA 389</w:t>
      </w:r>
      <w:r w:rsidR="00422A5B" w:rsidRPr="00E35810">
        <w:rPr>
          <w:rFonts w:asciiTheme="minorHAnsi" w:hAnsiTheme="minorHAnsi" w:cstheme="minorHAnsi"/>
        </w:rPr>
        <w:t>, [2018] 3 NZLR 715</w:t>
      </w:r>
      <w:r w:rsidR="001112A6" w:rsidRPr="00E35810">
        <w:rPr>
          <w:rFonts w:asciiTheme="minorHAnsi" w:hAnsiTheme="minorHAnsi" w:cstheme="minorHAnsi"/>
        </w:rPr>
        <w:t xml:space="preserve"> </w:t>
      </w:r>
      <w:r w:rsidR="004B3515" w:rsidRPr="00E35810">
        <w:rPr>
          <w:rFonts w:asciiTheme="minorHAnsi" w:hAnsiTheme="minorHAnsi" w:cstheme="minorHAnsi"/>
        </w:rPr>
        <w:t>a</w:t>
      </w:r>
      <w:r w:rsidR="00ED6E48" w:rsidRPr="00E35810">
        <w:rPr>
          <w:rFonts w:asciiTheme="minorHAnsi" w:hAnsiTheme="minorHAnsi" w:cstheme="minorHAnsi"/>
        </w:rPr>
        <w:t>t [76]</w:t>
      </w:r>
      <w:r w:rsidR="00CC3170" w:rsidRPr="00E35810">
        <w:rPr>
          <w:rFonts w:asciiTheme="minorHAnsi" w:hAnsiTheme="minorHAnsi" w:cstheme="minorHAnsi"/>
        </w:rPr>
        <w:t>–</w:t>
      </w:r>
      <w:r w:rsidR="00ED6E48" w:rsidRPr="00E35810">
        <w:rPr>
          <w:rFonts w:asciiTheme="minorHAnsi" w:hAnsiTheme="minorHAnsi" w:cstheme="minorHAnsi"/>
        </w:rPr>
        <w:t>[81]</w:t>
      </w:r>
      <w:r w:rsidR="004B3515" w:rsidRPr="00E35810">
        <w:rPr>
          <w:rFonts w:asciiTheme="minorHAnsi" w:hAnsiTheme="minorHAnsi" w:cstheme="minorHAnsi"/>
        </w:rPr>
        <w:t>.</w:t>
      </w:r>
    </w:p>
  </w:footnote>
  <w:footnote w:id="48">
    <w:p w14:paraId="0666E8B3" w14:textId="5C8447BC" w:rsidR="0036730C" w:rsidRPr="00E35810" w:rsidRDefault="0036730C"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C07F43" w:rsidRPr="00E35810">
        <w:rPr>
          <w:rFonts w:asciiTheme="minorHAnsi" w:hAnsiTheme="minorHAnsi" w:cstheme="minorHAnsi"/>
        </w:rPr>
        <w:tab/>
      </w:r>
      <w:r w:rsidR="00CC3170" w:rsidRPr="00E35810">
        <w:rPr>
          <w:rFonts w:asciiTheme="minorHAnsi" w:hAnsiTheme="minorHAnsi" w:cstheme="minorHAnsi"/>
        </w:rPr>
        <w:t>A</w:t>
      </w:r>
      <w:r w:rsidR="002A5911" w:rsidRPr="00E35810">
        <w:rPr>
          <w:rFonts w:asciiTheme="minorHAnsi" w:hAnsiTheme="minorHAnsi" w:cstheme="minorHAnsi"/>
        </w:rPr>
        <w:t>t [79].</w:t>
      </w:r>
    </w:p>
  </w:footnote>
  <w:footnote w:id="49">
    <w:p w14:paraId="49C7E078" w14:textId="6BBB1784" w:rsidR="001D7BC2" w:rsidRPr="00E35810" w:rsidRDefault="001D7BC2"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C07F43" w:rsidRPr="00E35810">
        <w:rPr>
          <w:rFonts w:asciiTheme="minorHAnsi" w:hAnsiTheme="minorHAnsi" w:cstheme="minorHAnsi"/>
        </w:rPr>
        <w:tab/>
      </w:r>
      <w:bookmarkStart w:id="9" w:name="_Hlk142483435"/>
      <w:r w:rsidR="00F01693" w:rsidRPr="00E35810">
        <w:rPr>
          <w:rFonts w:asciiTheme="minorHAnsi" w:hAnsiTheme="minorHAnsi" w:cstheme="minorHAnsi"/>
          <w:i/>
          <w:iCs/>
        </w:rPr>
        <w:t>Nelson City Council and Tasman District Council</w:t>
      </w:r>
      <w:r w:rsidR="00F01693" w:rsidRPr="00E35810">
        <w:rPr>
          <w:rFonts w:asciiTheme="minorHAnsi" w:hAnsiTheme="minorHAnsi" w:cstheme="minorHAnsi"/>
        </w:rPr>
        <w:t xml:space="preserve"> [2017] NZCC 6 at [111]–[112].</w:t>
      </w:r>
      <w:bookmarkEnd w:id="9"/>
    </w:p>
  </w:footnote>
  <w:footnote w:id="50">
    <w:p w14:paraId="0264B703" w14:textId="3F383E4E" w:rsidR="00F01693" w:rsidRPr="00E35810" w:rsidRDefault="00F01693"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C07F43" w:rsidRPr="00E35810">
        <w:rPr>
          <w:rFonts w:asciiTheme="minorHAnsi" w:hAnsiTheme="minorHAnsi" w:cstheme="minorHAnsi"/>
        </w:rPr>
        <w:tab/>
      </w:r>
      <w:r w:rsidRPr="00E35810">
        <w:rPr>
          <w:rFonts w:asciiTheme="minorHAnsi" w:hAnsiTheme="minorHAnsi" w:cstheme="minorHAnsi"/>
          <w:i/>
          <w:iCs/>
        </w:rPr>
        <w:t>Infant Nutrition Council Ltd</w:t>
      </w:r>
      <w:r w:rsidRPr="00E35810">
        <w:rPr>
          <w:rFonts w:asciiTheme="minorHAnsi" w:hAnsiTheme="minorHAnsi" w:cstheme="minorHAnsi"/>
        </w:rPr>
        <w:t xml:space="preserve"> [2015] NZCC 11 at [69]–[71].</w:t>
      </w:r>
    </w:p>
  </w:footnote>
  <w:footnote w:id="51">
    <w:p w14:paraId="7D997319" w14:textId="2B470C4F" w:rsidR="00903DC3" w:rsidRPr="00E35810" w:rsidRDefault="00903DC3"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C07F43" w:rsidRPr="00E35810">
        <w:rPr>
          <w:rFonts w:asciiTheme="minorHAnsi" w:hAnsiTheme="minorHAnsi" w:cstheme="minorHAnsi"/>
        </w:rPr>
        <w:tab/>
      </w:r>
      <w:r w:rsidR="009067A5" w:rsidRPr="00E35810">
        <w:rPr>
          <w:rFonts w:asciiTheme="minorHAnsi" w:hAnsiTheme="minorHAnsi" w:cstheme="minorHAnsi"/>
          <w:i/>
          <w:iCs/>
        </w:rPr>
        <w:t>NZME Ltd and Fairfax New Zealand Ltd</w:t>
      </w:r>
      <w:r w:rsidR="009067A5" w:rsidRPr="00E35810">
        <w:rPr>
          <w:rFonts w:asciiTheme="minorHAnsi" w:hAnsiTheme="minorHAnsi" w:cstheme="minorHAnsi"/>
        </w:rPr>
        <w:t xml:space="preserve"> [2017] NZCC 8.</w:t>
      </w:r>
    </w:p>
  </w:footnote>
  <w:footnote w:id="52">
    <w:p w14:paraId="166B8E4C" w14:textId="0E6B7A02" w:rsidR="00903DC3" w:rsidRPr="00E35810" w:rsidRDefault="00903DC3"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C07F43" w:rsidRPr="00E35810">
        <w:rPr>
          <w:rFonts w:asciiTheme="minorHAnsi" w:hAnsiTheme="minorHAnsi" w:cstheme="minorHAnsi"/>
        </w:rPr>
        <w:tab/>
      </w:r>
      <w:r w:rsidRPr="00E35810">
        <w:rPr>
          <w:rFonts w:asciiTheme="minorHAnsi" w:hAnsiTheme="minorHAnsi" w:cstheme="minorHAnsi"/>
          <w:i/>
          <w:iCs/>
        </w:rPr>
        <w:t>Midland Regional Health Authority</w:t>
      </w:r>
      <w:r w:rsidR="000E1DCF" w:rsidRPr="00E35810">
        <w:rPr>
          <w:rFonts w:asciiTheme="minorHAnsi" w:hAnsiTheme="minorHAnsi" w:cstheme="minorHAnsi"/>
          <w:i/>
          <w:iCs/>
        </w:rPr>
        <w:t xml:space="preserve">, </w:t>
      </w:r>
      <w:r w:rsidRPr="00E35810">
        <w:rPr>
          <w:rFonts w:asciiTheme="minorHAnsi" w:hAnsiTheme="minorHAnsi" w:cstheme="minorHAnsi"/>
          <w:i/>
          <w:iCs/>
        </w:rPr>
        <w:t>Health Waikato Ltd</w:t>
      </w:r>
      <w:r w:rsidR="00407925" w:rsidRPr="00E35810">
        <w:rPr>
          <w:rFonts w:asciiTheme="minorHAnsi" w:hAnsiTheme="minorHAnsi" w:cstheme="minorHAnsi"/>
        </w:rPr>
        <w:t xml:space="preserve">, above n </w:t>
      </w:r>
      <w:r w:rsidR="00407925" w:rsidRPr="00E35810">
        <w:rPr>
          <w:rFonts w:asciiTheme="minorHAnsi" w:hAnsiTheme="minorHAnsi" w:cstheme="minorHAnsi"/>
        </w:rPr>
        <w:fldChar w:fldCharType="begin"/>
      </w:r>
      <w:r w:rsidR="00407925" w:rsidRPr="00E35810">
        <w:rPr>
          <w:rFonts w:asciiTheme="minorHAnsi" w:hAnsiTheme="minorHAnsi" w:cstheme="minorHAnsi"/>
        </w:rPr>
        <w:instrText xml:space="preserve"> NOTEREF _Ref140927659 \h </w:instrText>
      </w:r>
      <w:r w:rsidR="00CA7C8B" w:rsidRPr="00E35810">
        <w:rPr>
          <w:rFonts w:asciiTheme="minorHAnsi" w:hAnsiTheme="minorHAnsi" w:cstheme="minorHAnsi"/>
        </w:rPr>
        <w:instrText xml:space="preserve"> \* MERGEFORMAT </w:instrText>
      </w:r>
      <w:r w:rsidR="00407925" w:rsidRPr="00E35810">
        <w:rPr>
          <w:rFonts w:asciiTheme="minorHAnsi" w:hAnsiTheme="minorHAnsi" w:cstheme="minorHAnsi"/>
        </w:rPr>
      </w:r>
      <w:r w:rsidR="00407925" w:rsidRPr="00E35810">
        <w:rPr>
          <w:rFonts w:asciiTheme="minorHAnsi" w:hAnsiTheme="minorHAnsi" w:cstheme="minorHAnsi"/>
        </w:rPr>
        <w:fldChar w:fldCharType="separate"/>
      </w:r>
      <w:r w:rsidR="000E1DCF" w:rsidRPr="00E35810">
        <w:rPr>
          <w:rFonts w:asciiTheme="minorHAnsi" w:hAnsiTheme="minorHAnsi" w:cstheme="minorHAnsi"/>
        </w:rPr>
        <w:t>42</w:t>
      </w:r>
      <w:r w:rsidR="00407925" w:rsidRPr="00E35810">
        <w:rPr>
          <w:rFonts w:asciiTheme="minorHAnsi" w:hAnsiTheme="minorHAnsi" w:cstheme="minorHAnsi"/>
        </w:rPr>
        <w:fldChar w:fldCharType="end"/>
      </w:r>
      <w:r w:rsidR="00407925" w:rsidRPr="00E35810">
        <w:rPr>
          <w:rFonts w:asciiTheme="minorHAnsi" w:hAnsiTheme="minorHAnsi" w:cstheme="minorHAnsi"/>
        </w:rPr>
        <w:t>,</w:t>
      </w:r>
      <w:r w:rsidR="001112A6" w:rsidRPr="00E35810">
        <w:rPr>
          <w:rFonts w:asciiTheme="minorHAnsi" w:hAnsiTheme="minorHAnsi" w:cstheme="minorHAnsi"/>
        </w:rPr>
        <w:t xml:space="preserve"> </w:t>
      </w:r>
      <w:r w:rsidRPr="00E35810">
        <w:rPr>
          <w:rFonts w:asciiTheme="minorHAnsi" w:hAnsiTheme="minorHAnsi" w:cstheme="minorHAnsi"/>
        </w:rPr>
        <w:t>at [318] and [323]–[336].</w:t>
      </w:r>
    </w:p>
  </w:footnote>
  <w:footnote w:id="53">
    <w:p w14:paraId="2E8C54B9" w14:textId="40501203" w:rsidR="00F01693" w:rsidRPr="00E35810" w:rsidRDefault="00F01693"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C07F43" w:rsidRPr="00E35810">
        <w:rPr>
          <w:rFonts w:asciiTheme="minorHAnsi" w:hAnsiTheme="minorHAnsi" w:cstheme="minorHAnsi"/>
        </w:rPr>
        <w:tab/>
      </w:r>
      <w:r w:rsidR="008C7AD6" w:rsidRPr="00E35810">
        <w:rPr>
          <w:rFonts w:asciiTheme="minorHAnsi" w:hAnsiTheme="minorHAnsi" w:cstheme="minorHAnsi"/>
          <w:i/>
          <w:iCs/>
        </w:rPr>
        <w:t>Refrigerant Licence Trust Board</w:t>
      </w:r>
      <w:r w:rsidR="008C7AD6" w:rsidRPr="00E35810">
        <w:rPr>
          <w:rFonts w:asciiTheme="minorHAnsi" w:hAnsiTheme="minorHAnsi" w:cstheme="minorHAnsi"/>
        </w:rPr>
        <w:t xml:space="preserve"> </w:t>
      </w:r>
      <w:r w:rsidR="00882437" w:rsidRPr="00E35810">
        <w:rPr>
          <w:rFonts w:asciiTheme="minorHAnsi" w:hAnsiTheme="minorHAnsi" w:cstheme="minorHAnsi"/>
        </w:rPr>
        <w:t>NZ</w:t>
      </w:r>
      <w:r w:rsidR="008C7AD6" w:rsidRPr="00E35810">
        <w:rPr>
          <w:rFonts w:asciiTheme="minorHAnsi" w:hAnsiTheme="minorHAnsi" w:cstheme="minorHAnsi"/>
        </w:rPr>
        <w:t>CC Decision No 735, 25 November 2011 at [77]–[81].</w:t>
      </w:r>
    </w:p>
  </w:footnote>
  <w:footnote w:id="54">
    <w:p w14:paraId="2EACEF2B" w14:textId="4BEDAF95" w:rsidR="008C7AD6" w:rsidRPr="00E35810" w:rsidRDefault="008C7AD6"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C07F43" w:rsidRPr="00E35810">
        <w:rPr>
          <w:rFonts w:asciiTheme="minorHAnsi" w:hAnsiTheme="minorHAnsi" w:cstheme="minorHAnsi"/>
        </w:rPr>
        <w:tab/>
      </w:r>
      <w:r w:rsidR="007E5B44" w:rsidRPr="00E35810">
        <w:rPr>
          <w:rFonts w:asciiTheme="minorHAnsi" w:hAnsiTheme="minorHAnsi" w:cstheme="minorHAnsi"/>
          <w:i/>
          <w:iCs/>
        </w:rPr>
        <w:t>Re Weddel New Zealand Ltd (in rec and in liq)</w:t>
      </w:r>
      <w:r w:rsidR="007E5B44" w:rsidRPr="00E35810">
        <w:rPr>
          <w:rFonts w:asciiTheme="minorHAnsi" w:hAnsiTheme="minorHAnsi" w:cstheme="minorHAnsi"/>
        </w:rPr>
        <w:t xml:space="preserve"> CC Decision No 273, 2 February 1995 at [255]–[257].</w:t>
      </w:r>
    </w:p>
  </w:footnote>
  <w:footnote w:id="55">
    <w:p w14:paraId="6D54E6FB" w14:textId="10CC14D7" w:rsidR="00E61211" w:rsidRPr="00E35810" w:rsidRDefault="00E61211"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C07F43" w:rsidRPr="00E35810">
        <w:rPr>
          <w:rFonts w:asciiTheme="minorHAnsi" w:hAnsiTheme="minorHAnsi" w:cstheme="minorHAnsi"/>
        </w:rPr>
        <w:tab/>
      </w:r>
      <w:r w:rsidR="00A124E7" w:rsidRPr="00E35810">
        <w:rPr>
          <w:rFonts w:asciiTheme="minorHAnsi" w:hAnsiTheme="minorHAnsi" w:cstheme="minorHAnsi"/>
        </w:rPr>
        <w:t>Commerce Act</w:t>
      </w:r>
      <w:r w:rsidR="00CC3170" w:rsidRPr="00E35810">
        <w:rPr>
          <w:rFonts w:asciiTheme="minorHAnsi" w:hAnsiTheme="minorHAnsi" w:cstheme="minorHAnsi"/>
        </w:rPr>
        <w:t>, s 61(2)</w:t>
      </w:r>
      <w:r w:rsidR="00A124E7" w:rsidRPr="00E35810">
        <w:rPr>
          <w:rFonts w:asciiTheme="minorHAnsi" w:hAnsiTheme="minorHAnsi" w:cstheme="minorHAnsi"/>
        </w:rPr>
        <w:t>.</w:t>
      </w:r>
    </w:p>
  </w:footnote>
  <w:footnote w:id="56">
    <w:p w14:paraId="06E27A53" w14:textId="0048331B" w:rsidR="002301E2" w:rsidRPr="00E35810" w:rsidRDefault="002301E2"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C07F43" w:rsidRPr="00E35810">
        <w:rPr>
          <w:rFonts w:asciiTheme="minorHAnsi" w:hAnsiTheme="minorHAnsi" w:cstheme="minorHAnsi"/>
        </w:rPr>
        <w:tab/>
      </w:r>
      <w:r w:rsidR="00B457B3" w:rsidRPr="00E35810">
        <w:rPr>
          <w:rFonts w:asciiTheme="minorHAnsi" w:hAnsiTheme="minorHAnsi" w:cstheme="minorHAnsi"/>
        </w:rPr>
        <w:t>Commerce Act</w:t>
      </w:r>
      <w:r w:rsidR="00CC3170" w:rsidRPr="00E35810">
        <w:rPr>
          <w:rFonts w:asciiTheme="minorHAnsi" w:hAnsiTheme="minorHAnsi" w:cstheme="minorHAnsi"/>
        </w:rPr>
        <w:t>, s 92</w:t>
      </w:r>
      <w:r w:rsidR="00B457B3" w:rsidRPr="00E35810">
        <w:rPr>
          <w:rFonts w:asciiTheme="minorHAnsi" w:hAnsiTheme="minorHAnsi" w:cstheme="minorHAnsi"/>
        </w:rPr>
        <w:t>.</w:t>
      </w:r>
    </w:p>
  </w:footnote>
  <w:footnote w:id="57">
    <w:p w14:paraId="230EE651" w14:textId="46360D9C" w:rsidR="008530FF" w:rsidRPr="00E35810" w:rsidRDefault="008530FF"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C07F43" w:rsidRPr="00E35810">
        <w:rPr>
          <w:rFonts w:asciiTheme="minorHAnsi" w:hAnsiTheme="minorHAnsi" w:cstheme="minorHAnsi"/>
        </w:rPr>
        <w:tab/>
      </w:r>
      <w:r w:rsidRPr="00E35810">
        <w:rPr>
          <w:rFonts w:asciiTheme="minorHAnsi" w:hAnsiTheme="minorHAnsi" w:cstheme="minorHAnsi"/>
          <w:i/>
          <w:iCs/>
        </w:rPr>
        <w:t>Town Investments Ltd v Department of the Environment</w:t>
      </w:r>
      <w:r w:rsidRPr="00E35810">
        <w:rPr>
          <w:rFonts w:asciiTheme="minorHAnsi" w:hAnsiTheme="minorHAnsi" w:cstheme="minorHAnsi"/>
        </w:rPr>
        <w:t xml:space="preserve"> [1978] AC 359 (HL) at 397</w:t>
      </w:r>
      <w:r w:rsidR="00DC711F" w:rsidRPr="00E35810">
        <w:rPr>
          <w:rFonts w:asciiTheme="minorHAnsi" w:hAnsiTheme="minorHAnsi" w:cstheme="minorHAnsi"/>
        </w:rPr>
        <w:t>.</w:t>
      </w:r>
    </w:p>
  </w:footnote>
  <w:footnote w:id="58">
    <w:p w14:paraId="49D6B57B" w14:textId="6CDD52B8" w:rsidR="00F77701" w:rsidRPr="00E35810" w:rsidRDefault="00F77701"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C07F43" w:rsidRPr="00E35810">
        <w:rPr>
          <w:rFonts w:asciiTheme="minorHAnsi" w:hAnsiTheme="minorHAnsi" w:cstheme="minorHAnsi"/>
        </w:rPr>
        <w:tab/>
      </w:r>
      <w:r w:rsidR="00765026" w:rsidRPr="00E35810">
        <w:rPr>
          <w:rFonts w:asciiTheme="minorHAnsi" w:hAnsiTheme="minorHAnsi" w:cstheme="minorHAnsi"/>
          <w:i/>
          <w:iCs/>
        </w:rPr>
        <w:t>Gault on Commercial Law</w:t>
      </w:r>
      <w:r w:rsidR="00765026" w:rsidRPr="00E35810">
        <w:rPr>
          <w:rFonts w:asciiTheme="minorHAnsi" w:hAnsiTheme="minorHAnsi" w:cstheme="minorHAnsi"/>
        </w:rPr>
        <w:t xml:space="preserve">, </w:t>
      </w:r>
      <w:r w:rsidR="00DC711F" w:rsidRPr="00E35810">
        <w:rPr>
          <w:rFonts w:asciiTheme="minorHAnsi" w:hAnsiTheme="minorHAnsi" w:cstheme="minorHAnsi"/>
        </w:rPr>
        <w:t xml:space="preserve">above n </w:t>
      </w:r>
      <w:r w:rsidR="00DC711F" w:rsidRPr="00E35810">
        <w:rPr>
          <w:rFonts w:asciiTheme="minorHAnsi" w:hAnsiTheme="minorHAnsi" w:cstheme="minorHAnsi"/>
        </w:rPr>
        <w:fldChar w:fldCharType="begin"/>
      </w:r>
      <w:r w:rsidR="00DC711F" w:rsidRPr="00E35810">
        <w:rPr>
          <w:rFonts w:asciiTheme="minorHAnsi" w:hAnsiTheme="minorHAnsi" w:cstheme="minorHAnsi"/>
        </w:rPr>
        <w:instrText xml:space="preserve"> NOTEREF _Ref140928667 \h </w:instrText>
      </w:r>
      <w:r w:rsidR="00CA7C8B" w:rsidRPr="00E35810">
        <w:rPr>
          <w:rFonts w:asciiTheme="minorHAnsi" w:hAnsiTheme="minorHAnsi" w:cstheme="minorHAnsi"/>
        </w:rPr>
        <w:instrText xml:space="preserve"> \* MERGEFORMAT </w:instrText>
      </w:r>
      <w:r w:rsidR="00DC711F" w:rsidRPr="00E35810">
        <w:rPr>
          <w:rFonts w:asciiTheme="minorHAnsi" w:hAnsiTheme="minorHAnsi" w:cstheme="minorHAnsi"/>
        </w:rPr>
      </w:r>
      <w:r w:rsidR="00DC711F" w:rsidRPr="00E35810">
        <w:rPr>
          <w:rFonts w:asciiTheme="minorHAnsi" w:hAnsiTheme="minorHAnsi" w:cstheme="minorHAnsi"/>
        </w:rPr>
        <w:fldChar w:fldCharType="separate"/>
      </w:r>
      <w:r w:rsidR="000E1DCF" w:rsidRPr="00E35810">
        <w:rPr>
          <w:rFonts w:asciiTheme="minorHAnsi" w:hAnsiTheme="minorHAnsi" w:cstheme="minorHAnsi"/>
        </w:rPr>
        <w:t>21</w:t>
      </w:r>
      <w:r w:rsidR="00DC711F" w:rsidRPr="00E35810">
        <w:rPr>
          <w:rFonts w:asciiTheme="minorHAnsi" w:hAnsiTheme="minorHAnsi" w:cstheme="minorHAnsi"/>
        </w:rPr>
        <w:fldChar w:fldCharType="end"/>
      </w:r>
      <w:r w:rsidR="00DC711F" w:rsidRPr="00E35810">
        <w:rPr>
          <w:rFonts w:asciiTheme="minorHAnsi" w:hAnsiTheme="minorHAnsi" w:cstheme="minorHAnsi"/>
        </w:rPr>
        <w:t>, at</w:t>
      </w:r>
      <w:r w:rsidR="00765026" w:rsidRPr="00E35810">
        <w:rPr>
          <w:rFonts w:asciiTheme="minorHAnsi" w:hAnsiTheme="minorHAnsi" w:cstheme="minorHAnsi"/>
        </w:rPr>
        <w:t xml:space="preserve"> </w:t>
      </w:r>
      <w:r w:rsidR="00DC711F" w:rsidRPr="00E35810">
        <w:rPr>
          <w:rFonts w:asciiTheme="minorHAnsi" w:hAnsiTheme="minorHAnsi" w:cstheme="minorHAnsi"/>
        </w:rPr>
        <w:t>[</w:t>
      </w:r>
      <w:r w:rsidR="00765026" w:rsidRPr="00E35810">
        <w:rPr>
          <w:rFonts w:asciiTheme="minorHAnsi" w:hAnsiTheme="minorHAnsi" w:cstheme="minorHAnsi"/>
        </w:rPr>
        <w:t>CA5.01</w:t>
      </w:r>
      <w:r w:rsidR="00DC711F" w:rsidRPr="00E35810">
        <w:rPr>
          <w:rFonts w:asciiTheme="minorHAnsi" w:hAnsiTheme="minorHAnsi" w:cstheme="minorHAnsi"/>
        </w:rPr>
        <w:t>].</w:t>
      </w:r>
    </w:p>
  </w:footnote>
  <w:footnote w:id="59">
    <w:p w14:paraId="48E67B83" w14:textId="6FBB3346" w:rsidR="00A03352" w:rsidRPr="00E35810" w:rsidRDefault="00A03352"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C07F43" w:rsidRPr="00E35810">
        <w:rPr>
          <w:rFonts w:asciiTheme="minorHAnsi" w:hAnsiTheme="minorHAnsi" w:cstheme="minorHAnsi"/>
        </w:rPr>
        <w:tab/>
      </w:r>
      <w:r w:rsidRPr="00E35810">
        <w:rPr>
          <w:rFonts w:asciiTheme="minorHAnsi" w:hAnsiTheme="minorHAnsi" w:cstheme="minorHAnsi"/>
          <w:i/>
          <w:iCs/>
        </w:rPr>
        <w:t>Stafford v Accident Compensation Corporation</w:t>
      </w:r>
      <w:r w:rsidRPr="00E35810">
        <w:rPr>
          <w:rFonts w:asciiTheme="minorHAnsi" w:hAnsiTheme="minorHAnsi" w:cstheme="minorHAnsi"/>
        </w:rPr>
        <w:t xml:space="preserve"> [2020] NZCA 164</w:t>
      </w:r>
      <w:r w:rsidR="00DC711F" w:rsidRPr="00E35810">
        <w:rPr>
          <w:rFonts w:asciiTheme="minorHAnsi" w:hAnsiTheme="minorHAnsi" w:cstheme="minorHAnsi"/>
        </w:rPr>
        <w:t>, [2020] 3 NZLR 731</w:t>
      </w:r>
      <w:r w:rsidRPr="00E35810">
        <w:rPr>
          <w:rFonts w:asciiTheme="minorHAnsi" w:hAnsiTheme="minorHAnsi" w:cstheme="minorHAnsi"/>
        </w:rPr>
        <w:t>.</w:t>
      </w:r>
    </w:p>
  </w:footnote>
  <w:footnote w:id="60">
    <w:p w14:paraId="65F81871" w14:textId="31736987" w:rsidR="009E2F73" w:rsidRPr="00E35810" w:rsidRDefault="009E2F73"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C07F43" w:rsidRPr="00E35810">
        <w:rPr>
          <w:rFonts w:asciiTheme="minorHAnsi" w:hAnsiTheme="minorHAnsi" w:cstheme="minorHAnsi"/>
        </w:rPr>
        <w:tab/>
      </w:r>
      <w:r w:rsidR="00CC3170" w:rsidRPr="00E35810">
        <w:rPr>
          <w:rFonts w:asciiTheme="minorHAnsi" w:hAnsiTheme="minorHAnsi" w:cstheme="minorHAnsi"/>
        </w:rPr>
        <w:t>A</w:t>
      </w:r>
      <w:r w:rsidR="00F91B96" w:rsidRPr="00E35810">
        <w:rPr>
          <w:rFonts w:asciiTheme="minorHAnsi" w:hAnsiTheme="minorHAnsi" w:cstheme="minorHAnsi"/>
        </w:rPr>
        <w:t>t [302]</w:t>
      </w:r>
      <w:r w:rsidR="00D136D2" w:rsidRPr="00E35810">
        <w:rPr>
          <w:rFonts w:asciiTheme="minorHAnsi" w:hAnsiTheme="minorHAnsi" w:cstheme="minorHAnsi"/>
        </w:rPr>
        <w:t xml:space="preserve"> (footnotes omitted)</w:t>
      </w:r>
      <w:r w:rsidR="007B2EE2" w:rsidRPr="00E35810">
        <w:rPr>
          <w:rFonts w:asciiTheme="minorHAnsi" w:hAnsiTheme="minorHAnsi" w:cstheme="minorHAnsi"/>
        </w:rPr>
        <w:t>.</w:t>
      </w:r>
    </w:p>
  </w:footnote>
  <w:footnote w:id="61">
    <w:p w14:paraId="2F25301C" w14:textId="74EA51E5" w:rsidR="00704D33" w:rsidRPr="00E35810" w:rsidRDefault="00704D33"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C07F43" w:rsidRPr="00E35810">
        <w:rPr>
          <w:rFonts w:asciiTheme="minorHAnsi" w:hAnsiTheme="minorHAnsi" w:cstheme="minorHAnsi"/>
        </w:rPr>
        <w:tab/>
      </w:r>
      <w:r w:rsidR="00CC3170" w:rsidRPr="00E35810">
        <w:rPr>
          <w:rFonts w:asciiTheme="minorHAnsi" w:hAnsiTheme="minorHAnsi" w:cstheme="minorHAnsi"/>
        </w:rPr>
        <w:t>A</w:t>
      </w:r>
      <w:r w:rsidRPr="00E35810">
        <w:rPr>
          <w:rFonts w:asciiTheme="minorHAnsi" w:hAnsiTheme="minorHAnsi" w:cstheme="minorHAnsi"/>
        </w:rPr>
        <w:t>t</w:t>
      </w:r>
      <w:r w:rsidR="007E377A" w:rsidRPr="00E35810">
        <w:rPr>
          <w:rFonts w:asciiTheme="minorHAnsi" w:hAnsiTheme="minorHAnsi" w:cstheme="minorHAnsi"/>
        </w:rPr>
        <w:t xml:space="preserve"> [125],</w:t>
      </w:r>
      <w:r w:rsidRPr="00E35810">
        <w:rPr>
          <w:rFonts w:asciiTheme="minorHAnsi" w:hAnsiTheme="minorHAnsi" w:cstheme="minorHAnsi"/>
        </w:rPr>
        <w:t xml:space="preserve"> [307] and [309]</w:t>
      </w:r>
      <w:r w:rsidR="004B0933" w:rsidRPr="00E35810">
        <w:rPr>
          <w:rFonts w:asciiTheme="minorHAnsi" w:hAnsiTheme="minorHAnsi" w:cstheme="minorHAnsi"/>
        </w:rPr>
        <w:t>.</w:t>
      </w:r>
    </w:p>
  </w:footnote>
  <w:footnote w:id="62">
    <w:p w14:paraId="21A2F430" w14:textId="051F8245" w:rsidR="005461B2" w:rsidRPr="00E35810" w:rsidRDefault="005461B2"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C07F43" w:rsidRPr="00E35810">
        <w:rPr>
          <w:rFonts w:asciiTheme="minorHAnsi" w:hAnsiTheme="minorHAnsi" w:cstheme="minorHAnsi"/>
        </w:rPr>
        <w:tab/>
      </w:r>
      <w:r w:rsidR="00CC3170" w:rsidRPr="00E35810">
        <w:rPr>
          <w:rFonts w:asciiTheme="minorHAnsi" w:hAnsiTheme="minorHAnsi" w:cstheme="minorHAnsi"/>
        </w:rPr>
        <w:t>At</w:t>
      </w:r>
      <w:r w:rsidR="002473BC" w:rsidRPr="00E35810">
        <w:rPr>
          <w:rFonts w:asciiTheme="minorHAnsi" w:hAnsiTheme="minorHAnsi" w:cstheme="minorHAnsi"/>
        </w:rPr>
        <w:t xml:space="preserve"> </w:t>
      </w:r>
      <w:r w:rsidR="006450FB" w:rsidRPr="00E35810">
        <w:rPr>
          <w:rFonts w:asciiTheme="minorHAnsi" w:hAnsiTheme="minorHAnsi" w:cstheme="minorHAnsi"/>
        </w:rPr>
        <w:t xml:space="preserve">[124] and </w:t>
      </w:r>
      <w:r w:rsidR="002473BC" w:rsidRPr="00E35810">
        <w:rPr>
          <w:rFonts w:asciiTheme="minorHAnsi" w:hAnsiTheme="minorHAnsi" w:cstheme="minorHAnsi"/>
        </w:rPr>
        <w:t>[131].</w:t>
      </w:r>
    </w:p>
  </w:footnote>
  <w:footnote w:id="63">
    <w:p w14:paraId="024699B1" w14:textId="482969A0" w:rsidR="00A65D77" w:rsidRPr="00E35810" w:rsidRDefault="00A65D77"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C07F43" w:rsidRPr="00E35810">
        <w:rPr>
          <w:rFonts w:asciiTheme="minorHAnsi" w:hAnsiTheme="minorHAnsi" w:cstheme="minorHAnsi"/>
        </w:rPr>
        <w:tab/>
      </w:r>
      <w:r w:rsidR="00344BA7" w:rsidRPr="00E35810">
        <w:rPr>
          <w:rFonts w:asciiTheme="minorHAnsi" w:hAnsiTheme="minorHAnsi" w:cstheme="minorHAnsi"/>
        </w:rPr>
        <w:t>(2 October 1979) 426 NZPD</w:t>
      </w:r>
      <w:r w:rsidR="00A04416" w:rsidRPr="00E35810">
        <w:rPr>
          <w:rFonts w:asciiTheme="minorHAnsi" w:hAnsiTheme="minorHAnsi" w:cstheme="minorHAnsi"/>
        </w:rPr>
        <w:t xml:space="preserve"> 3263</w:t>
      </w:r>
      <w:r w:rsidR="00344BA7" w:rsidRPr="00E35810">
        <w:rPr>
          <w:rFonts w:asciiTheme="minorHAnsi" w:hAnsiTheme="minorHAnsi" w:cstheme="minorHAnsi"/>
        </w:rPr>
        <w:t xml:space="preserve"> at 3263</w:t>
      </w:r>
      <w:r w:rsidR="00E329DA" w:rsidRPr="00E35810">
        <w:rPr>
          <w:rFonts w:asciiTheme="minorHAnsi" w:hAnsiTheme="minorHAnsi" w:cstheme="minorHAnsi"/>
        </w:rPr>
        <w:t>–</w:t>
      </w:r>
      <w:r w:rsidR="00344BA7" w:rsidRPr="00E35810">
        <w:rPr>
          <w:rFonts w:asciiTheme="minorHAnsi" w:hAnsiTheme="minorHAnsi" w:cstheme="minorHAnsi"/>
        </w:rPr>
        <w:t>3264.</w:t>
      </w:r>
    </w:p>
  </w:footnote>
  <w:footnote w:id="64">
    <w:p w14:paraId="654A65E6" w14:textId="01751E7A" w:rsidR="00100BEE" w:rsidRPr="00E35810" w:rsidRDefault="00100BEE" w:rsidP="00373986">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C07F43" w:rsidRPr="00E35810">
        <w:rPr>
          <w:rFonts w:asciiTheme="minorHAnsi" w:hAnsiTheme="minorHAnsi" w:cstheme="minorHAnsi"/>
        </w:rPr>
        <w:tab/>
      </w:r>
      <w:r w:rsidR="00CC53A0" w:rsidRPr="00E35810">
        <w:rPr>
          <w:rFonts w:asciiTheme="minorHAnsi" w:hAnsiTheme="minorHAnsi" w:cstheme="minorHAnsi"/>
        </w:rPr>
        <w:t xml:space="preserve">Te </w:t>
      </w:r>
      <w:r w:rsidR="00373986" w:rsidRPr="00E35810">
        <w:rPr>
          <w:rFonts w:asciiTheme="minorHAnsi" w:hAnsiTheme="minorHAnsi" w:cstheme="minorHAnsi"/>
        </w:rPr>
        <w:t>K</w:t>
      </w:r>
      <w:r w:rsidR="00CC53A0" w:rsidRPr="00E35810">
        <w:rPr>
          <w:rFonts w:asciiTheme="minorHAnsi" w:hAnsiTheme="minorHAnsi" w:cstheme="minorHAnsi"/>
        </w:rPr>
        <w:t>awa Mataaho Public Service Commission “Ngā whakahaere kāwanatanga Central government organisations” &lt;</w:t>
      </w:r>
      <w:r w:rsidR="002F35E3" w:rsidRPr="00E35810">
        <w:rPr>
          <w:rFonts w:asciiTheme="minorHAnsi" w:hAnsiTheme="minorHAnsi" w:cstheme="minorHAnsi"/>
        </w:rPr>
        <w:t>www.publicservice.govt.nz</w:t>
      </w:r>
      <w:r w:rsidR="00CC53A0" w:rsidRPr="00E35810">
        <w:rPr>
          <w:rFonts w:asciiTheme="minorHAnsi" w:hAnsiTheme="minorHAnsi" w:cstheme="minorHAnsi"/>
        </w:rPr>
        <w:t>&gt;.</w:t>
      </w:r>
    </w:p>
  </w:footnote>
  <w:footnote w:id="65">
    <w:p w14:paraId="4A561841" w14:textId="6EAFFE73" w:rsidR="008775B2" w:rsidRPr="00E35810" w:rsidRDefault="008775B2"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C07F43" w:rsidRPr="00E35810">
        <w:rPr>
          <w:rFonts w:asciiTheme="minorHAnsi" w:hAnsiTheme="minorHAnsi" w:cstheme="minorHAnsi"/>
        </w:rPr>
        <w:tab/>
      </w:r>
      <w:r w:rsidRPr="00E35810">
        <w:rPr>
          <w:rFonts w:asciiTheme="minorHAnsi" w:hAnsiTheme="minorHAnsi" w:cstheme="minorHAnsi"/>
        </w:rPr>
        <w:t xml:space="preserve">David Blacktop </w:t>
      </w:r>
      <w:r w:rsidR="00CC53A0" w:rsidRPr="00E35810">
        <w:rPr>
          <w:rFonts w:asciiTheme="minorHAnsi" w:hAnsiTheme="minorHAnsi" w:cstheme="minorHAnsi"/>
        </w:rPr>
        <w:t>“</w:t>
      </w:r>
      <w:r w:rsidRPr="00E35810">
        <w:rPr>
          <w:rFonts w:asciiTheme="minorHAnsi" w:hAnsiTheme="minorHAnsi" w:cstheme="minorHAnsi"/>
        </w:rPr>
        <w:t>Application of competition and consumer law to the Crown: the New Zealand perspective</w:t>
      </w:r>
      <w:r w:rsidR="00CC53A0" w:rsidRPr="00E35810">
        <w:rPr>
          <w:rFonts w:asciiTheme="minorHAnsi" w:hAnsiTheme="minorHAnsi" w:cstheme="minorHAnsi"/>
        </w:rPr>
        <w:t>” (paper presented to</w:t>
      </w:r>
      <w:r w:rsidR="00CC3170" w:rsidRPr="00E35810">
        <w:rPr>
          <w:rFonts w:asciiTheme="minorHAnsi" w:hAnsiTheme="minorHAnsi" w:cstheme="minorHAnsi"/>
        </w:rPr>
        <w:t xml:space="preserve"> </w:t>
      </w:r>
      <w:r w:rsidR="00CC53A0" w:rsidRPr="00E35810">
        <w:rPr>
          <w:rFonts w:asciiTheme="minorHAnsi" w:hAnsiTheme="minorHAnsi" w:cstheme="minorHAnsi"/>
        </w:rPr>
        <w:t xml:space="preserve">the </w:t>
      </w:r>
      <w:r w:rsidR="00CC3170" w:rsidRPr="00E35810">
        <w:rPr>
          <w:rFonts w:asciiTheme="minorHAnsi" w:hAnsiTheme="minorHAnsi" w:cstheme="minorHAnsi"/>
        </w:rPr>
        <w:t>ACCC/AER Regulatory Conference</w:t>
      </w:r>
      <w:r w:rsidR="00D15033" w:rsidRPr="00E35810">
        <w:rPr>
          <w:rFonts w:asciiTheme="minorHAnsi" w:hAnsiTheme="minorHAnsi" w:cstheme="minorHAnsi"/>
        </w:rPr>
        <w:t>, Brisbane, August</w:t>
      </w:r>
      <w:r w:rsidR="001112A6" w:rsidRPr="00E35810">
        <w:rPr>
          <w:rFonts w:asciiTheme="minorHAnsi" w:hAnsiTheme="minorHAnsi" w:cstheme="minorHAnsi"/>
        </w:rPr>
        <w:t xml:space="preserve"> </w:t>
      </w:r>
      <w:r w:rsidRPr="00E35810">
        <w:rPr>
          <w:rFonts w:asciiTheme="minorHAnsi" w:hAnsiTheme="minorHAnsi" w:cstheme="minorHAnsi"/>
        </w:rPr>
        <w:t>2015</w:t>
      </w:r>
      <w:r w:rsidR="00D15033" w:rsidRPr="00E35810">
        <w:rPr>
          <w:rFonts w:asciiTheme="minorHAnsi" w:hAnsiTheme="minorHAnsi" w:cstheme="minorHAnsi"/>
        </w:rPr>
        <w:t>)</w:t>
      </w:r>
      <w:r w:rsidR="004B0933" w:rsidRPr="00E35810">
        <w:rPr>
          <w:rFonts w:asciiTheme="minorHAnsi" w:hAnsiTheme="minorHAnsi" w:cstheme="minorHAnsi"/>
        </w:rPr>
        <w:t>.</w:t>
      </w:r>
    </w:p>
  </w:footnote>
  <w:footnote w:id="66">
    <w:p w14:paraId="3423EF14" w14:textId="5F96CEA1" w:rsidR="00E047A2" w:rsidRPr="00E35810" w:rsidRDefault="00E047A2"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C07F43" w:rsidRPr="00E35810">
        <w:rPr>
          <w:rFonts w:asciiTheme="minorHAnsi" w:hAnsiTheme="minorHAnsi" w:cstheme="minorHAnsi"/>
        </w:rPr>
        <w:tab/>
      </w:r>
      <w:r w:rsidRPr="00E35810">
        <w:rPr>
          <w:rFonts w:asciiTheme="minorHAnsi" w:hAnsiTheme="minorHAnsi" w:cstheme="minorHAnsi"/>
        </w:rPr>
        <w:t xml:space="preserve">See for example, the </w:t>
      </w:r>
      <w:r w:rsidR="002E25C2" w:rsidRPr="00E35810">
        <w:rPr>
          <w:rFonts w:asciiTheme="minorHAnsi" w:hAnsiTheme="minorHAnsi" w:cstheme="minorHAnsi"/>
        </w:rPr>
        <w:t>service delivery model</w:t>
      </w:r>
      <w:r w:rsidRPr="00E35810">
        <w:rPr>
          <w:rFonts w:asciiTheme="minorHAnsi" w:hAnsiTheme="minorHAnsi" w:cstheme="minorHAnsi"/>
        </w:rPr>
        <w:t xml:space="preserve"> described in </w:t>
      </w:r>
      <w:r w:rsidR="00275634" w:rsidRPr="00E35810">
        <w:rPr>
          <w:rFonts w:asciiTheme="minorHAnsi" w:hAnsiTheme="minorHAnsi" w:cstheme="minorHAnsi"/>
          <w:i/>
          <w:iCs/>
        </w:rPr>
        <w:t xml:space="preserve">Te Pou Matakana </w:t>
      </w:r>
      <w:r w:rsidR="00D15033" w:rsidRPr="00E35810">
        <w:rPr>
          <w:rFonts w:asciiTheme="minorHAnsi" w:hAnsiTheme="minorHAnsi" w:cstheme="minorHAnsi"/>
          <w:i/>
          <w:iCs/>
        </w:rPr>
        <w:t>Ltd</w:t>
      </w:r>
      <w:r w:rsidR="00275634" w:rsidRPr="00E35810">
        <w:rPr>
          <w:rFonts w:asciiTheme="minorHAnsi" w:hAnsiTheme="minorHAnsi" w:cstheme="minorHAnsi"/>
          <w:i/>
          <w:iCs/>
        </w:rPr>
        <w:t xml:space="preserve"> v Attorney</w:t>
      </w:r>
      <w:r w:rsidR="00373986" w:rsidRPr="00E35810">
        <w:rPr>
          <w:rFonts w:asciiTheme="minorHAnsi" w:hAnsiTheme="minorHAnsi" w:cstheme="minorHAnsi"/>
          <w:i/>
          <w:iCs/>
        </w:rPr>
        <w:t>-</w:t>
      </w:r>
      <w:r w:rsidR="00275634" w:rsidRPr="00E35810">
        <w:rPr>
          <w:rFonts w:asciiTheme="minorHAnsi" w:hAnsiTheme="minorHAnsi" w:cstheme="minorHAnsi"/>
          <w:i/>
          <w:iCs/>
        </w:rPr>
        <w:t>General</w:t>
      </w:r>
      <w:r w:rsidR="002E25C2" w:rsidRPr="00E35810">
        <w:rPr>
          <w:rFonts w:asciiTheme="minorHAnsi" w:hAnsiTheme="minorHAnsi" w:cstheme="minorHAnsi"/>
        </w:rPr>
        <w:t xml:space="preserve"> </w:t>
      </w:r>
      <w:r w:rsidR="00275634" w:rsidRPr="00E35810">
        <w:rPr>
          <w:rFonts w:asciiTheme="minorHAnsi" w:hAnsiTheme="minorHAnsi" w:cstheme="minorHAnsi"/>
        </w:rPr>
        <w:t>[2021] NZHC 2942</w:t>
      </w:r>
      <w:r w:rsidR="00DE34FF" w:rsidRPr="00E35810">
        <w:rPr>
          <w:rFonts w:asciiTheme="minorHAnsi" w:hAnsiTheme="minorHAnsi" w:cstheme="minorHAnsi"/>
        </w:rPr>
        <w:t>, [2022] 2 NZLR 148</w:t>
      </w:r>
      <w:r w:rsidR="00275634" w:rsidRPr="00E35810">
        <w:rPr>
          <w:rFonts w:asciiTheme="minorHAnsi" w:hAnsiTheme="minorHAnsi" w:cstheme="minorHAnsi"/>
        </w:rPr>
        <w:t xml:space="preserve"> </w:t>
      </w:r>
      <w:r w:rsidR="002E25C2" w:rsidRPr="00E35810">
        <w:rPr>
          <w:rFonts w:asciiTheme="minorHAnsi" w:hAnsiTheme="minorHAnsi" w:cstheme="minorHAnsi"/>
        </w:rPr>
        <w:t>at [6</w:t>
      </w:r>
      <w:r w:rsidR="00275634" w:rsidRPr="00E35810">
        <w:rPr>
          <w:rFonts w:asciiTheme="minorHAnsi" w:hAnsiTheme="minorHAnsi" w:cstheme="minorHAnsi"/>
        </w:rPr>
        <w:t>]</w:t>
      </w:r>
      <w:r w:rsidR="00D15033" w:rsidRPr="00E35810">
        <w:rPr>
          <w:rFonts w:asciiTheme="minorHAnsi" w:hAnsiTheme="minorHAnsi" w:cstheme="minorHAnsi"/>
        </w:rPr>
        <w:t>–</w:t>
      </w:r>
      <w:r w:rsidR="00275634" w:rsidRPr="00E35810">
        <w:rPr>
          <w:rFonts w:asciiTheme="minorHAnsi" w:hAnsiTheme="minorHAnsi" w:cstheme="minorHAnsi"/>
        </w:rPr>
        <w:t>[</w:t>
      </w:r>
      <w:r w:rsidR="000A3F01" w:rsidRPr="00E35810">
        <w:rPr>
          <w:rFonts w:asciiTheme="minorHAnsi" w:hAnsiTheme="minorHAnsi" w:cstheme="minorHAnsi"/>
        </w:rPr>
        <w:t>9].</w:t>
      </w:r>
    </w:p>
  </w:footnote>
  <w:footnote w:id="67">
    <w:p w14:paraId="1F9EEF0C" w14:textId="7344F561" w:rsidR="00376CAB" w:rsidRPr="00E35810" w:rsidRDefault="00376CAB"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C07F43" w:rsidRPr="00E35810">
        <w:rPr>
          <w:rFonts w:asciiTheme="minorHAnsi" w:hAnsiTheme="minorHAnsi" w:cstheme="minorHAnsi"/>
        </w:rPr>
        <w:tab/>
      </w:r>
      <w:r w:rsidR="007D72D9" w:rsidRPr="00E35810">
        <w:rPr>
          <w:rFonts w:asciiTheme="minorHAnsi" w:hAnsiTheme="minorHAnsi" w:cstheme="minorHAnsi"/>
        </w:rPr>
        <w:t xml:space="preserve">See for example </w:t>
      </w:r>
      <w:r w:rsidR="007D72D9" w:rsidRPr="00E35810">
        <w:rPr>
          <w:rFonts w:asciiTheme="minorHAnsi" w:hAnsiTheme="minorHAnsi" w:cstheme="minorHAnsi"/>
          <w:i/>
          <w:iCs/>
        </w:rPr>
        <w:t>Electoral Commission v Cameron</w:t>
      </w:r>
      <w:r w:rsidR="007D72D9" w:rsidRPr="00E35810">
        <w:rPr>
          <w:rFonts w:asciiTheme="minorHAnsi" w:hAnsiTheme="minorHAnsi" w:cstheme="minorHAnsi"/>
        </w:rPr>
        <w:t xml:space="preserve"> [1997] 2 NZLR 421 (CA)</w:t>
      </w:r>
      <w:r w:rsidR="00373986" w:rsidRPr="00E35810">
        <w:rPr>
          <w:rFonts w:asciiTheme="minorHAnsi" w:hAnsiTheme="minorHAnsi" w:cstheme="minorHAnsi"/>
        </w:rPr>
        <w:t>;</w:t>
      </w:r>
      <w:r w:rsidR="007D72D9" w:rsidRPr="00E35810">
        <w:rPr>
          <w:rFonts w:asciiTheme="minorHAnsi" w:hAnsiTheme="minorHAnsi" w:cstheme="minorHAnsi"/>
        </w:rPr>
        <w:t xml:space="preserve"> </w:t>
      </w:r>
      <w:r w:rsidR="00601193" w:rsidRPr="00E35810">
        <w:rPr>
          <w:rFonts w:asciiTheme="minorHAnsi" w:hAnsiTheme="minorHAnsi" w:cstheme="minorHAnsi"/>
          <w:i/>
          <w:iCs/>
        </w:rPr>
        <w:t>Royal Australasian College of Surgeons v Phipps</w:t>
      </w:r>
      <w:r w:rsidR="00601193" w:rsidRPr="00E35810">
        <w:rPr>
          <w:rFonts w:asciiTheme="minorHAnsi" w:hAnsiTheme="minorHAnsi" w:cstheme="minorHAnsi"/>
        </w:rPr>
        <w:t xml:space="preserve"> [1999] 3 NZLR 1 (CA)</w:t>
      </w:r>
      <w:r w:rsidR="00373986" w:rsidRPr="00E35810">
        <w:rPr>
          <w:rFonts w:asciiTheme="minorHAnsi" w:hAnsiTheme="minorHAnsi" w:cstheme="minorHAnsi"/>
        </w:rPr>
        <w:t>;</w:t>
      </w:r>
      <w:r w:rsidR="00601193" w:rsidRPr="00E35810">
        <w:rPr>
          <w:rFonts w:asciiTheme="minorHAnsi" w:hAnsiTheme="minorHAnsi" w:cstheme="minorHAnsi"/>
        </w:rPr>
        <w:t xml:space="preserve"> </w:t>
      </w:r>
      <w:r w:rsidR="00AE7D0B" w:rsidRPr="00E35810">
        <w:rPr>
          <w:rFonts w:asciiTheme="minorHAnsi" w:hAnsiTheme="minorHAnsi" w:cstheme="minorHAnsi"/>
          <w:i/>
          <w:iCs/>
        </w:rPr>
        <w:t>Dunne v CanWest TVWorks Ltd</w:t>
      </w:r>
      <w:r w:rsidR="00AE7D0B" w:rsidRPr="00E35810">
        <w:rPr>
          <w:rFonts w:asciiTheme="minorHAnsi" w:hAnsiTheme="minorHAnsi" w:cstheme="minorHAnsi"/>
        </w:rPr>
        <w:t xml:space="preserve"> [2005] NZAR</w:t>
      </w:r>
      <w:r w:rsidR="00086794" w:rsidRPr="00E35810">
        <w:rPr>
          <w:rFonts w:asciiTheme="minorHAnsi" w:hAnsiTheme="minorHAnsi" w:cstheme="minorHAnsi"/>
        </w:rPr>
        <w:t xml:space="preserve"> 577</w:t>
      </w:r>
      <w:r w:rsidR="00373986" w:rsidRPr="00E35810">
        <w:rPr>
          <w:rFonts w:asciiTheme="minorHAnsi" w:hAnsiTheme="minorHAnsi" w:cstheme="minorHAnsi"/>
        </w:rPr>
        <w:t xml:space="preserve"> (HC);</w:t>
      </w:r>
      <w:r w:rsidR="00086794" w:rsidRPr="00E35810">
        <w:rPr>
          <w:rFonts w:asciiTheme="minorHAnsi" w:hAnsiTheme="minorHAnsi" w:cstheme="minorHAnsi"/>
        </w:rPr>
        <w:t xml:space="preserve"> </w:t>
      </w:r>
      <w:r w:rsidR="00601193" w:rsidRPr="00E35810">
        <w:rPr>
          <w:rFonts w:asciiTheme="minorHAnsi" w:hAnsiTheme="minorHAnsi" w:cstheme="minorHAnsi"/>
        </w:rPr>
        <w:t xml:space="preserve">and </w:t>
      </w:r>
      <w:r w:rsidR="00601193" w:rsidRPr="00E35810">
        <w:rPr>
          <w:rFonts w:asciiTheme="minorHAnsi" w:hAnsiTheme="minorHAnsi" w:cstheme="minorHAnsi"/>
          <w:i/>
          <w:iCs/>
        </w:rPr>
        <w:t>Falun Dafa Association of New Zealand Inc v Auckland Children’s Christmas Parade Trust Board</w:t>
      </w:r>
      <w:r w:rsidR="00601193" w:rsidRPr="00E35810">
        <w:rPr>
          <w:rFonts w:asciiTheme="minorHAnsi" w:hAnsiTheme="minorHAnsi" w:cstheme="minorHAnsi"/>
        </w:rPr>
        <w:t xml:space="preserve"> [2009] NZAR 122</w:t>
      </w:r>
      <w:r w:rsidR="00373986" w:rsidRPr="00E35810">
        <w:rPr>
          <w:rFonts w:asciiTheme="minorHAnsi" w:hAnsiTheme="minorHAnsi" w:cstheme="minorHAnsi"/>
        </w:rPr>
        <w:t xml:space="preserve"> (HC)</w:t>
      </w:r>
      <w:r w:rsidR="00601193" w:rsidRPr="00E35810">
        <w:rPr>
          <w:rFonts w:asciiTheme="minorHAnsi" w:hAnsiTheme="minorHAnsi" w:cstheme="minorHAnsi"/>
        </w:rPr>
        <w:t>.</w:t>
      </w:r>
    </w:p>
  </w:footnote>
  <w:footnote w:id="68">
    <w:p w14:paraId="79654533" w14:textId="423FE96F" w:rsidR="008264AB" w:rsidRPr="00E35810" w:rsidRDefault="008264AB"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C07F43" w:rsidRPr="00E35810">
        <w:rPr>
          <w:rFonts w:asciiTheme="minorHAnsi" w:hAnsiTheme="minorHAnsi" w:cstheme="minorHAnsi"/>
        </w:rPr>
        <w:tab/>
      </w:r>
      <w:r w:rsidRPr="00E35810">
        <w:rPr>
          <w:rFonts w:asciiTheme="minorHAnsi" w:hAnsiTheme="minorHAnsi" w:cstheme="minorHAnsi"/>
        </w:rPr>
        <w:t xml:space="preserve">For example, licensing or industry standard setting decisions, </w:t>
      </w:r>
      <w:r w:rsidR="000034AD" w:rsidRPr="00E35810">
        <w:rPr>
          <w:rFonts w:asciiTheme="minorHAnsi" w:hAnsiTheme="minorHAnsi" w:cstheme="minorHAnsi"/>
        </w:rPr>
        <w:t>or decisions as to what type of advertising or promotional activity is ethical.</w:t>
      </w:r>
      <w:r w:rsidR="00B30BB3" w:rsidRPr="00E35810">
        <w:rPr>
          <w:rFonts w:asciiTheme="minorHAnsi" w:hAnsiTheme="minorHAnsi" w:cstheme="minorHAnsi"/>
        </w:rPr>
        <w:t xml:space="preserve"> See </w:t>
      </w:r>
      <w:r w:rsidR="004D5DEB" w:rsidRPr="00E35810">
        <w:rPr>
          <w:rFonts w:asciiTheme="minorHAnsi" w:hAnsiTheme="minorHAnsi" w:cstheme="minorHAnsi"/>
        </w:rPr>
        <w:t xml:space="preserve">also </w:t>
      </w:r>
      <w:r w:rsidR="00C92B13" w:rsidRPr="00E35810">
        <w:rPr>
          <w:rFonts w:asciiTheme="minorHAnsi" w:hAnsiTheme="minorHAnsi" w:cstheme="minorHAnsi"/>
        </w:rPr>
        <w:t xml:space="preserve">Alan </w:t>
      </w:r>
      <w:r w:rsidR="004D5DEB" w:rsidRPr="00E35810">
        <w:rPr>
          <w:rFonts w:asciiTheme="minorHAnsi" w:hAnsiTheme="minorHAnsi" w:cstheme="minorHAnsi"/>
        </w:rPr>
        <w:t xml:space="preserve">Bollard and </w:t>
      </w:r>
      <w:r w:rsidR="00C92B13" w:rsidRPr="00E35810">
        <w:rPr>
          <w:rFonts w:asciiTheme="minorHAnsi" w:hAnsiTheme="minorHAnsi" w:cstheme="minorHAnsi"/>
        </w:rPr>
        <w:t xml:space="preserve">Paul </w:t>
      </w:r>
      <w:r w:rsidR="004D5DEB" w:rsidRPr="00E35810">
        <w:rPr>
          <w:rFonts w:asciiTheme="minorHAnsi" w:hAnsiTheme="minorHAnsi" w:cstheme="minorHAnsi"/>
        </w:rPr>
        <w:t xml:space="preserve">Scott </w:t>
      </w:r>
      <w:r w:rsidR="00C92B13" w:rsidRPr="00E35810">
        <w:rPr>
          <w:rFonts w:asciiTheme="minorHAnsi" w:hAnsiTheme="minorHAnsi" w:cstheme="minorHAnsi"/>
        </w:rPr>
        <w:t>“</w:t>
      </w:r>
      <w:r w:rsidR="004D5DEB" w:rsidRPr="00E35810">
        <w:rPr>
          <w:rFonts w:asciiTheme="minorHAnsi" w:hAnsiTheme="minorHAnsi" w:cstheme="minorHAnsi"/>
        </w:rPr>
        <w:t>Competition and the Legal Profession</w:t>
      </w:r>
      <w:r w:rsidR="00C92B13" w:rsidRPr="00E35810">
        <w:rPr>
          <w:rFonts w:asciiTheme="minorHAnsi" w:hAnsiTheme="minorHAnsi" w:cstheme="minorHAnsi"/>
        </w:rPr>
        <w:t>”</w:t>
      </w:r>
      <w:r w:rsidR="004D5DEB" w:rsidRPr="00E35810">
        <w:rPr>
          <w:rFonts w:asciiTheme="minorHAnsi" w:hAnsiTheme="minorHAnsi" w:cstheme="minorHAnsi"/>
        </w:rPr>
        <w:t xml:space="preserve"> [1996] NZLJ 275.</w:t>
      </w:r>
    </w:p>
  </w:footnote>
  <w:footnote w:id="69">
    <w:p w14:paraId="52D47867" w14:textId="5807711B" w:rsidR="005015E2" w:rsidRPr="00E35810" w:rsidRDefault="005015E2"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C07F43" w:rsidRPr="00E35810">
        <w:rPr>
          <w:rFonts w:asciiTheme="minorHAnsi" w:hAnsiTheme="minorHAnsi" w:cstheme="minorHAnsi"/>
        </w:rPr>
        <w:tab/>
      </w:r>
      <w:r w:rsidR="005128D1" w:rsidRPr="00E35810">
        <w:rPr>
          <w:rFonts w:asciiTheme="minorHAnsi" w:hAnsiTheme="minorHAnsi" w:cstheme="minorHAnsi"/>
        </w:rPr>
        <w:t xml:space="preserve">OECD </w:t>
      </w:r>
      <w:r w:rsidR="005128D1" w:rsidRPr="00E35810">
        <w:rPr>
          <w:rFonts w:asciiTheme="minorHAnsi" w:hAnsiTheme="minorHAnsi" w:cstheme="minorHAnsi"/>
          <w:i/>
          <w:iCs/>
        </w:rPr>
        <w:t>Recommendation of the Council on Competition Assessment</w:t>
      </w:r>
      <w:r w:rsidRPr="00E35810">
        <w:rPr>
          <w:rFonts w:asciiTheme="minorHAnsi" w:hAnsiTheme="minorHAnsi" w:cstheme="minorHAnsi"/>
        </w:rPr>
        <w:t>,</w:t>
      </w:r>
      <w:r w:rsidR="005128D1" w:rsidRPr="00E35810">
        <w:rPr>
          <w:rFonts w:asciiTheme="minorHAnsi" w:hAnsiTheme="minorHAnsi" w:cstheme="minorHAnsi"/>
        </w:rPr>
        <w:t xml:space="preserve"> above n </w:t>
      </w:r>
      <w:r w:rsidR="005128D1" w:rsidRPr="00E35810">
        <w:rPr>
          <w:rFonts w:asciiTheme="minorHAnsi" w:hAnsiTheme="minorHAnsi" w:cstheme="minorHAnsi"/>
        </w:rPr>
        <w:fldChar w:fldCharType="begin"/>
      </w:r>
      <w:r w:rsidR="005128D1" w:rsidRPr="00E35810">
        <w:rPr>
          <w:rFonts w:asciiTheme="minorHAnsi" w:hAnsiTheme="minorHAnsi" w:cstheme="minorHAnsi"/>
        </w:rPr>
        <w:instrText xml:space="preserve"> NOTEREF _Ref140931313 \h </w:instrText>
      </w:r>
      <w:r w:rsidR="00CA7C8B" w:rsidRPr="00E35810">
        <w:rPr>
          <w:rFonts w:asciiTheme="minorHAnsi" w:hAnsiTheme="minorHAnsi" w:cstheme="minorHAnsi"/>
        </w:rPr>
        <w:instrText xml:space="preserve"> \* MERGEFORMAT </w:instrText>
      </w:r>
      <w:r w:rsidR="005128D1" w:rsidRPr="00E35810">
        <w:rPr>
          <w:rFonts w:asciiTheme="minorHAnsi" w:hAnsiTheme="minorHAnsi" w:cstheme="minorHAnsi"/>
        </w:rPr>
      </w:r>
      <w:r w:rsidR="005128D1" w:rsidRPr="00E35810">
        <w:rPr>
          <w:rFonts w:asciiTheme="minorHAnsi" w:hAnsiTheme="minorHAnsi" w:cstheme="minorHAnsi"/>
        </w:rPr>
        <w:fldChar w:fldCharType="separate"/>
      </w:r>
      <w:r w:rsidR="000E1DCF" w:rsidRPr="00E35810">
        <w:rPr>
          <w:rFonts w:asciiTheme="minorHAnsi" w:hAnsiTheme="minorHAnsi" w:cstheme="minorHAnsi"/>
        </w:rPr>
        <w:t>4</w:t>
      </w:r>
      <w:r w:rsidR="005128D1" w:rsidRPr="00E35810">
        <w:rPr>
          <w:rFonts w:asciiTheme="minorHAnsi" w:hAnsiTheme="minorHAnsi" w:cstheme="minorHAnsi"/>
        </w:rPr>
        <w:fldChar w:fldCharType="end"/>
      </w:r>
      <w:r w:rsidR="0047260B" w:rsidRPr="00E35810">
        <w:rPr>
          <w:rFonts w:asciiTheme="minorHAnsi" w:hAnsiTheme="minorHAnsi" w:cstheme="minorHAnsi"/>
        </w:rPr>
        <w:t>.</w:t>
      </w:r>
    </w:p>
  </w:footnote>
  <w:footnote w:id="70">
    <w:p w14:paraId="557B2985" w14:textId="44D21F58" w:rsidR="00D22235" w:rsidRPr="00E35810" w:rsidRDefault="00D22235"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C07F43" w:rsidRPr="00E35810">
        <w:rPr>
          <w:rFonts w:asciiTheme="minorHAnsi" w:hAnsiTheme="minorHAnsi" w:cstheme="minorHAnsi"/>
        </w:rPr>
        <w:tab/>
      </w:r>
      <w:r w:rsidR="000D1625" w:rsidRPr="00E35810">
        <w:rPr>
          <w:rFonts w:asciiTheme="minorHAnsi" w:hAnsiTheme="minorHAnsi" w:cstheme="minorHAnsi"/>
        </w:rPr>
        <w:t>Crown Organisations (Criminal Liability) Act 2002</w:t>
      </w:r>
      <w:r w:rsidR="00CC3170" w:rsidRPr="00E35810">
        <w:rPr>
          <w:rFonts w:asciiTheme="minorHAnsi" w:hAnsiTheme="minorHAnsi" w:cstheme="minorHAnsi"/>
        </w:rPr>
        <w:t>, s 4</w:t>
      </w:r>
      <w:r w:rsidR="000D1625" w:rsidRPr="00E35810">
        <w:rPr>
          <w:rFonts w:asciiTheme="minorHAnsi" w:hAnsiTheme="minorHAnsi" w:cstheme="minorHAnsi"/>
        </w:rPr>
        <w:t>.</w:t>
      </w:r>
    </w:p>
  </w:footnote>
  <w:footnote w:id="71">
    <w:p w14:paraId="5CBF94D1" w14:textId="4238A304" w:rsidR="00335705" w:rsidRPr="00E35810" w:rsidRDefault="00335705"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C07F43" w:rsidRPr="00E35810">
        <w:rPr>
          <w:rFonts w:asciiTheme="minorHAnsi" w:hAnsiTheme="minorHAnsi" w:cstheme="minorHAnsi"/>
        </w:rPr>
        <w:tab/>
      </w:r>
      <w:r w:rsidRPr="00E35810">
        <w:rPr>
          <w:rFonts w:asciiTheme="minorHAnsi" w:hAnsiTheme="minorHAnsi" w:cstheme="minorHAnsi"/>
        </w:rPr>
        <w:t xml:space="preserve">For example, the Reserve Bank does not </w:t>
      </w:r>
      <w:r w:rsidR="00BA10EC" w:rsidRPr="00E35810">
        <w:rPr>
          <w:rFonts w:asciiTheme="minorHAnsi" w:hAnsiTheme="minorHAnsi" w:cstheme="minorHAnsi"/>
        </w:rPr>
        <w:t>appear to be covered by the definition of Crown organisation.</w:t>
      </w:r>
    </w:p>
  </w:footnote>
  <w:footnote w:id="72">
    <w:p w14:paraId="345CFC7D" w14:textId="308B0C46" w:rsidR="009E6AE3" w:rsidRPr="00E35810" w:rsidRDefault="009E6AE3"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C07F43" w:rsidRPr="00E35810">
        <w:rPr>
          <w:rFonts w:asciiTheme="minorHAnsi" w:hAnsiTheme="minorHAnsi" w:cstheme="minorHAnsi"/>
        </w:rPr>
        <w:tab/>
      </w:r>
      <w:r w:rsidRPr="00E35810">
        <w:rPr>
          <w:rFonts w:asciiTheme="minorHAnsi" w:hAnsiTheme="minorHAnsi" w:cstheme="minorHAnsi"/>
        </w:rPr>
        <w:t>Commerce Act</w:t>
      </w:r>
      <w:r w:rsidR="00CC3170" w:rsidRPr="00E35810">
        <w:rPr>
          <w:rFonts w:asciiTheme="minorHAnsi" w:hAnsiTheme="minorHAnsi" w:cstheme="minorHAnsi"/>
        </w:rPr>
        <w:t>, s 2</w:t>
      </w:r>
      <w:r w:rsidRPr="00E35810">
        <w:rPr>
          <w:rFonts w:asciiTheme="minorHAnsi" w:hAnsiTheme="minorHAnsi" w:cstheme="minorHAnsi"/>
        </w:rPr>
        <w:t>.</w:t>
      </w:r>
    </w:p>
  </w:footnote>
  <w:footnote w:id="73">
    <w:p w14:paraId="0FED7DB4" w14:textId="187932BF" w:rsidR="003311B4" w:rsidRPr="00E35810" w:rsidRDefault="003311B4"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C07F43" w:rsidRPr="00E35810">
        <w:rPr>
          <w:rFonts w:asciiTheme="minorHAnsi" w:hAnsiTheme="minorHAnsi" w:cstheme="minorHAnsi"/>
        </w:rPr>
        <w:tab/>
      </w:r>
      <w:r w:rsidR="00BF5A84" w:rsidRPr="00E35810">
        <w:rPr>
          <w:rFonts w:asciiTheme="minorHAnsi" w:hAnsiTheme="minorHAnsi" w:cstheme="minorHAnsi"/>
          <w:i/>
          <w:iCs/>
        </w:rPr>
        <w:t>Fairnington Investments Ltd v New Zealand Kiwifruit Marketing Board</w:t>
      </w:r>
      <w:r w:rsidR="00BF5A84" w:rsidRPr="00E35810">
        <w:rPr>
          <w:rFonts w:asciiTheme="minorHAnsi" w:hAnsiTheme="minorHAnsi" w:cstheme="minorHAnsi"/>
        </w:rPr>
        <w:t xml:space="preserve"> (1994) 6 TCLR 254 (HC) at 261</w:t>
      </w:r>
      <w:r w:rsidR="00CC3170" w:rsidRPr="00E35810">
        <w:rPr>
          <w:rFonts w:asciiTheme="minorHAnsi" w:hAnsiTheme="minorHAnsi" w:cstheme="minorHAnsi"/>
        </w:rPr>
        <w:t>–</w:t>
      </w:r>
      <w:r w:rsidR="00BF5A84" w:rsidRPr="00E35810">
        <w:rPr>
          <w:rFonts w:asciiTheme="minorHAnsi" w:hAnsiTheme="minorHAnsi" w:cstheme="minorHAnsi"/>
        </w:rPr>
        <w:t>262.</w:t>
      </w:r>
    </w:p>
  </w:footnote>
  <w:footnote w:id="74">
    <w:p w14:paraId="63B9D532" w14:textId="21FD15D2" w:rsidR="00F455CC" w:rsidRPr="00E35810" w:rsidRDefault="00F455CC"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C07F43" w:rsidRPr="00E35810">
        <w:rPr>
          <w:rFonts w:asciiTheme="minorHAnsi" w:hAnsiTheme="minorHAnsi" w:cstheme="minorHAnsi"/>
        </w:rPr>
        <w:tab/>
      </w:r>
      <w:r w:rsidRPr="00E35810">
        <w:rPr>
          <w:rFonts w:asciiTheme="minorHAnsi" w:hAnsiTheme="minorHAnsi" w:cstheme="minorHAnsi"/>
        </w:rPr>
        <w:t>Competition and Consumer Act</w:t>
      </w:r>
      <w:r w:rsidR="0047260B" w:rsidRPr="00E35810">
        <w:rPr>
          <w:rFonts w:asciiTheme="minorHAnsi" w:hAnsiTheme="minorHAnsi" w:cstheme="minorHAnsi"/>
        </w:rPr>
        <w:t>, s 2C.</w:t>
      </w:r>
    </w:p>
  </w:footnote>
  <w:footnote w:id="75">
    <w:p w14:paraId="33358D93" w14:textId="41D5D849" w:rsidR="00E13864" w:rsidRPr="00E35810" w:rsidRDefault="00E13864"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C07F43" w:rsidRPr="00E35810">
        <w:rPr>
          <w:rFonts w:asciiTheme="minorHAnsi" w:hAnsiTheme="minorHAnsi" w:cstheme="minorHAnsi"/>
        </w:rPr>
        <w:tab/>
      </w:r>
      <w:r w:rsidRPr="00E35810">
        <w:rPr>
          <w:rFonts w:asciiTheme="minorHAnsi" w:hAnsiTheme="minorHAnsi" w:cstheme="minorHAnsi"/>
          <w:i/>
          <w:iCs/>
        </w:rPr>
        <w:t>Glaxo New Zealand Ltd v Attorney-General</w:t>
      </w:r>
      <w:r w:rsidR="00165427" w:rsidRPr="00E35810">
        <w:rPr>
          <w:rFonts w:asciiTheme="minorHAnsi" w:hAnsiTheme="minorHAnsi" w:cstheme="minorHAnsi"/>
          <w:i/>
          <w:iCs/>
        </w:rPr>
        <w:t xml:space="preserve"> </w:t>
      </w:r>
      <w:r w:rsidR="00165427" w:rsidRPr="00E35810">
        <w:rPr>
          <w:rFonts w:asciiTheme="minorHAnsi" w:hAnsiTheme="minorHAnsi" w:cstheme="minorHAnsi"/>
        </w:rPr>
        <w:t>[1991] 3 NZLR 129 (CA).</w:t>
      </w:r>
    </w:p>
  </w:footnote>
  <w:footnote w:id="76">
    <w:p w14:paraId="4876D9EB" w14:textId="1455FCF4" w:rsidR="00DE0494" w:rsidRPr="00E35810" w:rsidRDefault="00DE0494"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C07F43" w:rsidRPr="00E35810">
        <w:rPr>
          <w:rFonts w:asciiTheme="minorHAnsi" w:hAnsiTheme="minorHAnsi" w:cstheme="minorHAnsi"/>
        </w:rPr>
        <w:tab/>
      </w:r>
      <w:r w:rsidRPr="00E35810">
        <w:rPr>
          <w:rFonts w:asciiTheme="minorHAnsi" w:hAnsiTheme="minorHAnsi" w:cstheme="minorHAnsi"/>
          <w:i/>
          <w:iCs/>
        </w:rPr>
        <w:t xml:space="preserve">Glaxo New Zealand Ltd v Attorney-General </w:t>
      </w:r>
      <w:r w:rsidRPr="00E35810">
        <w:rPr>
          <w:rFonts w:asciiTheme="minorHAnsi" w:hAnsiTheme="minorHAnsi" w:cstheme="minorHAnsi"/>
        </w:rPr>
        <w:t>[1991] 3 NZLR 129 (HC)</w:t>
      </w:r>
      <w:r w:rsidR="00244E9D" w:rsidRPr="00E35810">
        <w:rPr>
          <w:rFonts w:asciiTheme="minorHAnsi" w:hAnsiTheme="minorHAnsi" w:cstheme="minorHAnsi"/>
        </w:rPr>
        <w:t>.</w:t>
      </w:r>
    </w:p>
  </w:footnote>
  <w:footnote w:id="77">
    <w:p w14:paraId="70CEEA77" w14:textId="17A0F14E" w:rsidR="007750DF" w:rsidRPr="00E35810" w:rsidRDefault="007750DF"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C07F43" w:rsidRPr="00E35810">
        <w:rPr>
          <w:rFonts w:asciiTheme="minorHAnsi" w:hAnsiTheme="minorHAnsi" w:cstheme="minorHAnsi"/>
        </w:rPr>
        <w:tab/>
      </w:r>
      <w:r w:rsidR="003E330F" w:rsidRPr="00E35810">
        <w:rPr>
          <w:rFonts w:asciiTheme="minorHAnsi" w:hAnsiTheme="minorHAnsi" w:cstheme="minorHAnsi"/>
          <w:i/>
          <w:iCs/>
        </w:rPr>
        <w:t>Re NZ Medical Assn</w:t>
      </w:r>
      <w:r w:rsidR="003E330F" w:rsidRPr="00E35810">
        <w:rPr>
          <w:rFonts w:asciiTheme="minorHAnsi" w:hAnsiTheme="minorHAnsi" w:cstheme="minorHAnsi"/>
        </w:rPr>
        <w:t xml:space="preserve"> (1988) 7 NZAR 407 (NZCC).</w:t>
      </w:r>
    </w:p>
  </w:footnote>
  <w:footnote w:id="78">
    <w:p w14:paraId="1CBF6499" w14:textId="3D76B4C1" w:rsidR="005D4E73" w:rsidRPr="00E35810" w:rsidRDefault="005D4E73"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C07F43" w:rsidRPr="00E35810">
        <w:rPr>
          <w:rFonts w:asciiTheme="minorHAnsi" w:hAnsiTheme="minorHAnsi" w:cstheme="minorHAnsi"/>
        </w:rPr>
        <w:tab/>
      </w:r>
      <w:r w:rsidR="00CC3170" w:rsidRPr="00E35810">
        <w:rPr>
          <w:rFonts w:asciiTheme="minorHAnsi" w:hAnsiTheme="minorHAnsi" w:cstheme="minorHAnsi"/>
        </w:rPr>
        <w:t>A</w:t>
      </w:r>
      <w:r w:rsidRPr="00E35810">
        <w:rPr>
          <w:rFonts w:asciiTheme="minorHAnsi" w:hAnsiTheme="minorHAnsi" w:cstheme="minorHAnsi"/>
        </w:rPr>
        <w:t>t [9].</w:t>
      </w:r>
    </w:p>
  </w:footnote>
  <w:footnote w:id="79">
    <w:p w14:paraId="31BB150C" w14:textId="14824F49" w:rsidR="00DE0494" w:rsidRPr="00E35810" w:rsidRDefault="00DE0494"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1C1874" w:rsidRPr="00E35810">
        <w:rPr>
          <w:rFonts w:asciiTheme="minorHAnsi" w:hAnsiTheme="minorHAnsi" w:cstheme="minorHAnsi"/>
        </w:rPr>
        <w:tab/>
      </w:r>
      <w:r w:rsidR="008D0B0E" w:rsidRPr="00E35810">
        <w:rPr>
          <w:rFonts w:asciiTheme="minorHAnsi" w:hAnsiTheme="minorHAnsi" w:cstheme="minorHAnsi"/>
          <w:i/>
          <w:iCs/>
        </w:rPr>
        <w:t>Glaxo New Zealand Ltd</w:t>
      </w:r>
      <w:r w:rsidR="00AB1B87" w:rsidRPr="00E35810">
        <w:rPr>
          <w:rFonts w:asciiTheme="minorHAnsi" w:hAnsiTheme="minorHAnsi" w:cstheme="minorHAnsi"/>
        </w:rPr>
        <w:t>,</w:t>
      </w:r>
      <w:r w:rsidR="00AB1B87" w:rsidRPr="00E35810">
        <w:rPr>
          <w:rFonts w:asciiTheme="minorHAnsi" w:hAnsiTheme="minorHAnsi" w:cstheme="minorHAnsi"/>
          <w:i/>
          <w:iCs/>
        </w:rPr>
        <w:t xml:space="preserve"> </w:t>
      </w:r>
      <w:r w:rsidR="00AB1B87" w:rsidRPr="00E35810">
        <w:rPr>
          <w:rFonts w:asciiTheme="minorHAnsi" w:hAnsiTheme="minorHAnsi" w:cstheme="minorHAnsi"/>
        </w:rPr>
        <w:t>above n</w:t>
      </w:r>
      <w:r w:rsidR="00AB1B87" w:rsidRPr="00E35810">
        <w:rPr>
          <w:rFonts w:asciiTheme="minorHAnsi" w:hAnsiTheme="minorHAnsi" w:cstheme="minorHAnsi"/>
          <w:i/>
          <w:iCs/>
        </w:rPr>
        <w:t xml:space="preserve"> </w:t>
      </w:r>
      <w:r w:rsidR="00AB1B87" w:rsidRPr="00E35810">
        <w:rPr>
          <w:rFonts w:asciiTheme="minorHAnsi" w:hAnsiTheme="minorHAnsi" w:cstheme="minorHAnsi"/>
        </w:rPr>
        <w:fldChar w:fldCharType="begin"/>
      </w:r>
      <w:r w:rsidR="00AB1B87" w:rsidRPr="00E35810">
        <w:rPr>
          <w:rFonts w:asciiTheme="minorHAnsi" w:hAnsiTheme="minorHAnsi" w:cstheme="minorHAnsi"/>
          <w:i/>
          <w:iCs/>
        </w:rPr>
        <w:instrText xml:space="preserve"> NOTEREF _Ref140933173 \h </w:instrText>
      </w:r>
      <w:r w:rsidR="00AB1B87" w:rsidRPr="00E35810">
        <w:rPr>
          <w:rFonts w:asciiTheme="minorHAnsi" w:hAnsiTheme="minorHAnsi" w:cstheme="minorHAnsi"/>
        </w:rPr>
        <w:instrText xml:space="preserve"> \* MERGEFORMAT </w:instrText>
      </w:r>
      <w:r w:rsidR="00AB1B87" w:rsidRPr="00E35810">
        <w:rPr>
          <w:rFonts w:asciiTheme="minorHAnsi" w:hAnsiTheme="minorHAnsi" w:cstheme="minorHAnsi"/>
        </w:rPr>
      </w:r>
      <w:r w:rsidR="00AB1B87" w:rsidRPr="00E35810">
        <w:rPr>
          <w:rFonts w:asciiTheme="minorHAnsi" w:hAnsiTheme="minorHAnsi" w:cstheme="minorHAnsi"/>
        </w:rPr>
        <w:fldChar w:fldCharType="separate"/>
      </w:r>
      <w:r w:rsidR="000E1DCF" w:rsidRPr="00E35810">
        <w:rPr>
          <w:rFonts w:asciiTheme="minorHAnsi" w:hAnsiTheme="minorHAnsi" w:cstheme="minorHAnsi"/>
        </w:rPr>
        <w:t>73</w:t>
      </w:r>
      <w:r w:rsidR="00AB1B87" w:rsidRPr="00E35810">
        <w:rPr>
          <w:rFonts w:asciiTheme="minorHAnsi" w:hAnsiTheme="minorHAnsi" w:cstheme="minorHAnsi"/>
        </w:rPr>
        <w:fldChar w:fldCharType="end"/>
      </w:r>
      <w:r w:rsidR="00AB1B87" w:rsidRPr="00E35810">
        <w:rPr>
          <w:rFonts w:asciiTheme="minorHAnsi" w:hAnsiTheme="minorHAnsi" w:cstheme="minorHAnsi"/>
        </w:rPr>
        <w:t>,</w:t>
      </w:r>
      <w:r w:rsidR="001112A6" w:rsidRPr="00E35810">
        <w:rPr>
          <w:rFonts w:asciiTheme="minorHAnsi" w:hAnsiTheme="minorHAnsi" w:cstheme="minorHAnsi"/>
          <w:i/>
          <w:iCs/>
        </w:rPr>
        <w:t xml:space="preserve"> </w:t>
      </w:r>
      <w:r w:rsidR="008D0B0E" w:rsidRPr="00E35810">
        <w:rPr>
          <w:rFonts w:asciiTheme="minorHAnsi" w:hAnsiTheme="minorHAnsi" w:cstheme="minorHAnsi"/>
        </w:rPr>
        <w:t>at 133.</w:t>
      </w:r>
    </w:p>
  </w:footnote>
  <w:footnote w:id="80">
    <w:p w14:paraId="727F5AAD" w14:textId="098110FF" w:rsidR="008D0B0E" w:rsidRPr="00E35810" w:rsidRDefault="008D0B0E"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Style w:val="FootnoteReference"/>
          <w:rFonts w:asciiTheme="minorHAnsi" w:hAnsiTheme="minorHAnsi" w:cstheme="minorHAnsi"/>
          <w:vertAlign w:val="baseline"/>
        </w:rPr>
        <w:t xml:space="preserve"> </w:t>
      </w:r>
      <w:r w:rsidRPr="00E35810">
        <w:rPr>
          <w:rFonts w:asciiTheme="minorHAnsi" w:hAnsiTheme="minorHAnsi" w:cstheme="minorHAnsi"/>
        </w:rPr>
        <w:tab/>
        <w:t>At 139</w:t>
      </w:r>
      <w:r w:rsidR="00AB1B87" w:rsidRPr="00E35810">
        <w:rPr>
          <w:rFonts w:asciiTheme="minorHAnsi" w:hAnsiTheme="minorHAnsi" w:cstheme="minorHAnsi"/>
        </w:rPr>
        <w:t>–140</w:t>
      </w:r>
      <w:r w:rsidRPr="00E35810">
        <w:rPr>
          <w:rFonts w:asciiTheme="minorHAnsi" w:hAnsiTheme="minorHAnsi" w:cstheme="minorHAnsi"/>
        </w:rPr>
        <w:t>.</w:t>
      </w:r>
    </w:p>
  </w:footnote>
  <w:footnote w:id="81">
    <w:p w14:paraId="1725B4FF" w14:textId="33FA6DAE" w:rsidR="00363374" w:rsidRPr="00E35810" w:rsidRDefault="00363374"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1C1874" w:rsidRPr="00E35810">
        <w:rPr>
          <w:rFonts w:asciiTheme="minorHAnsi" w:hAnsiTheme="minorHAnsi" w:cstheme="minorHAnsi"/>
        </w:rPr>
        <w:tab/>
      </w:r>
      <w:r w:rsidR="001A6728" w:rsidRPr="00E35810">
        <w:rPr>
          <w:rFonts w:asciiTheme="minorHAnsi" w:hAnsiTheme="minorHAnsi" w:cstheme="minorHAnsi"/>
          <w:i/>
          <w:iCs/>
        </w:rPr>
        <w:t>N</w:t>
      </w:r>
      <w:r w:rsidR="00AB1B87" w:rsidRPr="00E35810">
        <w:rPr>
          <w:rFonts w:asciiTheme="minorHAnsi" w:hAnsiTheme="minorHAnsi" w:cstheme="minorHAnsi"/>
          <w:i/>
          <w:iCs/>
        </w:rPr>
        <w:t xml:space="preserve">ew </w:t>
      </w:r>
      <w:r w:rsidR="001A6728" w:rsidRPr="00E35810">
        <w:rPr>
          <w:rFonts w:asciiTheme="minorHAnsi" w:hAnsiTheme="minorHAnsi" w:cstheme="minorHAnsi"/>
          <w:i/>
          <w:iCs/>
        </w:rPr>
        <w:t>Z</w:t>
      </w:r>
      <w:r w:rsidR="00AB1B87" w:rsidRPr="00E35810">
        <w:rPr>
          <w:rFonts w:asciiTheme="minorHAnsi" w:hAnsiTheme="minorHAnsi" w:cstheme="minorHAnsi"/>
          <w:i/>
          <w:iCs/>
        </w:rPr>
        <w:t>ealand</w:t>
      </w:r>
      <w:r w:rsidR="001A6728" w:rsidRPr="00E35810">
        <w:rPr>
          <w:rFonts w:asciiTheme="minorHAnsi" w:hAnsiTheme="minorHAnsi" w:cstheme="minorHAnsi"/>
          <w:i/>
          <w:iCs/>
        </w:rPr>
        <w:t xml:space="preserve"> Apple and Pear Marketing Board v Apple Fields Ltd</w:t>
      </w:r>
      <w:r w:rsidR="00AB1B87" w:rsidRPr="00E35810">
        <w:rPr>
          <w:rFonts w:asciiTheme="minorHAnsi" w:hAnsiTheme="minorHAnsi" w:cstheme="minorHAnsi"/>
        </w:rPr>
        <w:t xml:space="preserve">, above n </w:t>
      </w:r>
      <w:r w:rsidR="00AB1B87" w:rsidRPr="00E35810">
        <w:rPr>
          <w:rFonts w:asciiTheme="minorHAnsi" w:hAnsiTheme="minorHAnsi" w:cstheme="minorHAnsi"/>
        </w:rPr>
        <w:fldChar w:fldCharType="begin"/>
      </w:r>
      <w:r w:rsidR="00AB1B87" w:rsidRPr="00E35810">
        <w:rPr>
          <w:rFonts w:asciiTheme="minorHAnsi" w:hAnsiTheme="minorHAnsi" w:cstheme="minorHAnsi"/>
        </w:rPr>
        <w:instrText xml:space="preserve"> NOTEREF _Ref140933510 \h </w:instrText>
      </w:r>
      <w:r w:rsidR="00CA7C8B" w:rsidRPr="00E35810">
        <w:rPr>
          <w:rFonts w:asciiTheme="minorHAnsi" w:hAnsiTheme="minorHAnsi" w:cstheme="minorHAnsi"/>
        </w:rPr>
        <w:instrText xml:space="preserve"> \* MERGEFORMAT </w:instrText>
      </w:r>
      <w:r w:rsidR="00AB1B87" w:rsidRPr="00E35810">
        <w:rPr>
          <w:rFonts w:asciiTheme="minorHAnsi" w:hAnsiTheme="minorHAnsi" w:cstheme="minorHAnsi"/>
        </w:rPr>
      </w:r>
      <w:r w:rsidR="00AB1B87" w:rsidRPr="00E35810">
        <w:rPr>
          <w:rFonts w:asciiTheme="minorHAnsi" w:hAnsiTheme="minorHAnsi" w:cstheme="minorHAnsi"/>
        </w:rPr>
        <w:fldChar w:fldCharType="separate"/>
      </w:r>
      <w:r w:rsidR="000E1DCF" w:rsidRPr="00E35810">
        <w:rPr>
          <w:rFonts w:asciiTheme="minorHAnsi" w:hAnsiTheme="minorHAnsi" w:cstheme="minorHAnsi"/>
        </w:rPr>
        <w:t>25</w:t>
      </w:r>
      <w:r w:rsidR="00AB1B87" w:rsidRPr="00E35810">
        <w:rPr>
          <w:rFonts w:asciiTheme="minorHAnsi" w:hAnsiTheme="minorHAnsi" w:cstheme="minorHAnsi"/>
        </w:rPr>
        <w:fldChar w:fldCharType="end"/>
      </w:r>
      <w:r w:rsidR="001A6728" w:rsidRPr="00E35810">
        <w:rPr>
          <w:rFonts w:asciiTheme="minorHAnsi" w:hAnsiTheme="minorHAnsi" w:cstheme="minorHAnsi"/>
        </w:rPr>
        <w:t>.</w:t>
      </w:r>
    </w:p>
  </w:footnote>
  <w:footnote w:id="82">
    <w:p w14:paraId="0155D5AE" w14:textId="451D4B06" w:rsidR="00977260" w:rsidRPr="00E35810" w:rsidRDefault="00977260"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1C1874" w:rsidRPr="00E35810">
        <w:rPr>
          <w:rFonts w:asciiTheme="minorHAnsi" w:hAnsiTheme="minorHAnsi" w:cstheme="minorHAnsi"/>
        </w:rPr>
        <w:tab/>
      </w:r>
      <w:r w:rsidRPr="00E35810">
        <w:rPr>
          <w:rFonts w:asciiTheme="minorHAnsi" w:hAnsiTheme="minorHAnsi" w:cstheme="minorHAnsi"/>
          <w:i/>
          <w:iCs/>
        </w:rPr>
        <w:t>Astra Pharmaceuticals (NZ) Ltd v Pharmaceutical Management Agency Ltd</w:t>
      </w:r>
      <w:r w:rsidRPr="00E35810">
        <w:rPr>
          <w:rFonts w:asciiTheme="minorHAnsi" w:hAnsiTheme="minorHAnsi" w:cstheme="minorHAnsi"/>
        </w:rPr>
        <w:t xml:space="preserve"> (1999) 9 TCLR 99 (HC)</w:t>
      </w:r>
      <w:r w:rsidR="000A00B5" w:rsidRPr="00E35810">
        <w:rPr>
          <w:rFonts w:asciiTheme="minorHAnsi" w:hAnsiTheme="minorHAnsi" w:cstheme="minorHAnsi"/>
        </w:rPr>
        <w:t>.</w:t>
      </w:r>
    </w:p>
  </w:footnote>
  <w:footnote w:id="83">
    <w:p w14:paraId="67FBED09" w14:textId="4CA5EE3A" w:rsidR="000F56F8" w:rsidRPr="00E35810" w:rsidRDefault="000F56F8"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1C1874" w:rsidRPr="00E35810">
        <w:rPr>
          <w:rFonts w:asciiTheme="minorHAnsi" w:hAnsiTheme="minorHAnsi" w:cstheme="minorHAnsi"/>
        </w:rPr>
        <w:tab/>
      </w:r>
      <w:r w:rsidR="00CC3170" w:rsidRPr="00E35810">
        <w:rPr>
          <w:rFonts w:asciiTheme="minorHAnsi" w:hAnsiTheme="minorHAnsi" w:cstheme="minorHAnsi"/>
        </w:rPr>
        <w:t xml:space="preserve">At </w:t>
      </w:r>
      <w:r w:rsidRPr="00E35810">
        <w:rPr>
          <w:rFonts w:asciiTheme="minorHAnsi" w:hAnsiTheme="minorHAnsi" w:cstheme="minorHAnsi"/>
        </w:rPr>
        <w:t>104</w:t>
      </w:r>
      <w:r w:rsidR="00CC3170" w:rsidRPr="00E35810">
        <w:rPr>
          <w:rFonts w:asciiTheme="minorHAnsi" w:hAnsiTheme="minorHAnsi" w:cstheme="minorHAnsi"/>
        </w:rPr>
        <w:t>–</w:t>
      </w:r>
      <w:r w:rsidRPr="00E35810">
        <w:rPr>
          <w:rFonts w:asciiTheme="minorHAnsi" w:hAnsiTheme="minorHAnsi" w:cstheme="minorHAnsi"/>
        </w:rPr>
        <w:t>105.</w:t>
      </w:r>
    </w:p>
  </w:footnote>
  <w:footnote w:id="84">
    <w:p w14:paraId="5F7E7A92" w14:textId="6A29C3CC" w:rsidR="009E44F2" w:rsidRPr="00E35810" w:rsidRDefault="009E44F2"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1C1874" w:rsidRPr="00E35810">
        <w:rPr>
          <w:rFonts w:asciiTheme="minorHAnsi" w:hAnsiTheme="minorHAnsi" w:cstheme="minorHAnsi"/>
        </w:rPr>
        <w:tab/>
      </w:r>
      <w:r w:rsidRPr="00E35810">
        <w:rPr>
          <w:rFonts w:asciiTheme="minorHAnsi" w:hAnsiTheme="minorHAnsi" w:cstheme="minorHAnsi"/>
          <w:i/>
          <w:iCs/>
        </w:rPr>
        <w:t>Pharmaceutical Management Agency Ltd v Astra Pharmaceutical (New Zealand) Ltd</w:t>
      </w:r>
      <w:r w:rsidRPr="00E35810">
        <w:rPr>
          <w:rFonts w:asciiTheme="minorHAnsi" w:hAnsiTheme="minorHAnsi" w:cstheme="minorHAnsi"/>
        </w:rPr>
        <w:t xml:space="preserve"> CA39/99, 15 April 1999.</w:t>
      </w:r>
    </w:p>
  </w:footnote>
  <w:footnote w:id="85">
    <w:p w14:paraId="0098B5FA" w14:textId="4E1A80B5" w:rsidR="000F48F8" w:rsidRPr="00E35810" w:rsidRDefault="000F48F8"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1C1874" w:rsidRPr="00E35810">
        <w:rPr>
          <w:rFonts w:asciiTheme="minorHAnsi" w:hAnsiTheme="minorHAnsi" w:cstheme="minorHAnsi"/>
        </w:rPr>
        <w:tab/>
      </w:r>
      <w:r w:rsidRPr="00E35810">
        <w:rPr>
          <w:rFonts w:asciiTheme="minorHAnsi" w:hAnsiTheme="minorHAnsi" w:cstheme="minorHAnsi"/>
          <w:i/>
          <w:iCs/>
        </w:rPr>
        <w:t>Astra Pharmaceuticals (NZ) Ltd v Pharmaceutical Management Agency Ltd</w:t>
      </w:r>
      <w:r w:rsidRPr="00E35810">
        <w:rPr>
          <w:rFonts w:asciiTheme="minorHAnsi" w:hAnsiTheme="minorHAnsi" w:cstheme="minorHAnsi"/>
        </w:rPr>
        <w:t xml:space="preserve"> HC Wellington CP186/98, 15 March 2000 at [</w:t>
      </w:r>
      <w:r w:rsidR="00E0177F" w:rsidRPr="00E35810">
        <w:rPr>
          <w:rFonts w:asciiTheme="minorHAnsi" w:hAnsiTheme="minorHAnsi" w:cstheme="minorHAnsi"/>
        </w:rPr>
        <w:t>81].</w:t>
      </w:r>
      <w:r w:rsidR="002322C2" w:rsidRPr="00E35810">
        <w:rPr>
          <w:rFonts w:asciiTheme="minorHAnsi" w:hAnsiTheme="minorHAnsi" w:cstheme="minorHAnsi"/>
        </w:rPr>
        <w:t xml:space="preserve"> </w:t>
      </w:r>
      <w:r w:rsidR="00A852D8" w:rsidRPr="00E35810">
        <w:rPr>
          <w:rFonts w:asciiTheme="minorHAnsi" w:hAnsiTheme="minorHAnsi" w:cstheme="minorHAnsi"/>
        </w:rPr>
        <w:t>Other aspects of t</w:t>
      </w:r>
      <w:r w:rsidR="002322C2" w:rsidRPr="00E35810">
        <w:rPr>
          <w:rFonts w:asciiTheme="minorHAnsi" w:hAnsiTheme="minorHAnsi" w:cstheme="minorHAnsi"/>
        </w:rPr>
        <w:t xml:space="preserve">he </w:t>
      </w:r>
      <w:r w:rsidR="00CC3170" w:rsidRPr="00E35810">
        <w:rPr>
          <w:rFonts w:asciiTheme="minorHAnsi" w:hAnsiTheme="minorHAnsi" w:cstheme="minorHAnsi"/>
        </w:rPr>
        <w:t>j</w:t>
      </w:r>
      <w:r w:rsidR="002322C2" w:rsidRPr="00E35810">
        <w:rPr>
          <w:rFonts w:asciiTheme="minorHAnsi" w:hAnsiTheme="minorHAnsi" w:cstheme="minorHAnsi"/>
        </w:rPr>
        <w:t>udgment w</w:t>
      </w:r>
      <w:r w:rsidR="00A852D8" w:rsidRPr="00E35810">
        <w:rPr>
          <w:rFonts w:asciiTheme="minorHAnsi" w:hAnsiTheme="minorHAnsi" w:cstheme="minorHAnsi"/>
        </w:rPr>
        <w:t>ere</w:t>
      </w:r>
      <w:r w:rsidR="002322C2" w:rsidRPr="00E35810">
        <w:rPr>
          <w:rFonts w:asciiTheme="minorHAnsi" w:hAnsiTheme="minorHAnsi" w:cstheme="minorHAnsi"/>
        </w:rPr>
        <w:t xml:space="preserve"> partially overturned on </w:t>
      </w:r>
      <w:r w:rsidR="00A852D8" w:rsidRPr="00E35810">
        <w:rPr>
          <w:rFonts w:asciiTheme="minorHAnsi" w:hAnsiTheme="minorHAnsi" w:cstheme="minorHAnsi"/>
        </w:rPr>
        <w:t xml:space="preserve">appeal: </w:t>
      </w:r>
      <w:r w:rsidR="00A852D8" w:rsidRPr="00E35810">
        <w:rPr>
          <w:rFonts w:asciiTheme="minorHAnsi" w:hAnsiTheme="minorHAnsi" w:cstheme="minorHAnsi"/>
          <w:i/>
          <w:iCs/>
        </w:rPr>
        <w:t xml:space="preserve">Astra Pharmaceuticals (NZ) Ltd v Pharmaceutical Management Agency Ltd </w:t>
      </w:r>
      <w:r w:rsidR="00A852D8" w:rsidRPr="00E35810">
        <w:rPr>
          <w:rFonts w:asciiTheme="minorHAnsi" w:hAnsiTheme="minorHAnsi" w:cstheme="minorHAnsi"/>
        </w:rPr>
        <w:t>[2001] 1 NZLR 415</w:t>
      </w:r>
      <w:r w:rsidR="00373986" w:rsidRPr="00E35810">
        <w:rPr>
          <w:rFonts w:asciiTheme="minorHAnsi" w:hAnsiTheme="minorHAnsi" w:cstheme="minorHAnsi"/>
        </w:rPr>
        <w:t xml:space="preserve"> (CA)</w:t>
      </w:r>
      <w:r w:rsidR="00A852D8" w:rsidRPr="00E35810">
        <w:rPr>
          <w:rFonts w:asciiTheme="minorHAnsi" w:hAnsiTheme="minorHAnsi" w:cstheme="minorHAnsi"/>
        </w:rPr>
        <w:t>.</w:t>
      </w:r>
    </w:p>
  </w:footnote>
  <w:footnote w:id="86">
    <w:p w14:paraId="22F51E84" w14:textId="32029EF8" w:rsidR="00E21AA5" w:rsidRPr="00E35810" w:rsidRDefault="00E21AA5"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1C1874" w:rsidRPr="00E35810">
        <w:rPr>
          <w:rFonts w:asciiTheme="minorHAnsi" w:hAnsiTheme="minorHAnsi" w:cstheme="minorHAnsi"/>
        </w:rPr>
        <w:tab/>
      </w:r>
      <w:r w:rsidR="00553C8F" w:rsidRPr="00E35810">
        <w:rPr>
          <w:rFonts w:asciiTheme="minorHAnsi" w:hAnsiTheme="minorHAnsi" w:cstheme="minorHAnsi"/>
        </w:rPr>
        <w:t>A</w:t>
      </w:r>
      <w:r w:rsidR="008D0B0E" w:rsidRPr="00E35810">
        <w:rPr>
          <w:rFonts w:asciiTheme="minorHAnsi" w:hAnsiTheme="minorHAnsi" w:cstheme="minorHAnsi"/>
        </w:rPr>
        <w:t>t [81].</w:t>
      </w:r>
    </w:p>
  </w:footnote>
  <w:footnote w:id="87">
    <w:p w14:paraId="6A4949EC" w14:textId="3C2BF839" w:rsidR="0003026B" w:rsidRPr="00E35810" w:rsidRDefault="0003026B"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00684C1A" w:rsidRPr="00E35810">
        <w:rPr>
          <w:rFonts w:asciiTheme="minorHAnsi" w:hAnsiTheme="minorHAnsi" w:cstheme="minorHAnsi"/>
        </w:rPr>
        <w:t xml:space="preserve"> </w:t>
      </w:r>
      <w:r w:rsidR="001C1874" w:rsidRPr="00E35810">
        <w:rPr>
          <w:rFonts w:asciiTheme="minorHAnsi" w:hAnsiTheme="minorHAnsi" w:cstheme="minorHAnsi"/>
        </w:rPr>
        <w:tab/>
      </w:r>
      <w:r w:rsidR="00684C1A" w:rsidRPr="00E35810">
        <w:rPr>
          <w:rFonts w:asciiTheme="minorHAnsi" w:hAnsiTheme="minorHAnsi" w:cstheme="minorHAnsi"/>
        </w:rPr>
        <w:t xml:space="preserve">For example, </w:t>
      </w:r>
      <w:r w:rsidRPr="00E35810">
        <w:rPr>
          <w:rFonts w:asciiTheme="minorHAnsi" w:hAnsiTheme="minorHAnsi" w:cstheme="minorHAnsi"/>
          <w:i/>
          <w:iCs/>
        </w:rPr>
        <w:t>Rod Milner Motors Ltd v Attorney</w:t>
      </w:r>
      <w:r w:rsidR="00553C8F" w:rsidRPr="00E35810">
        <w:rPr>
          <w:rFonts w:asciiTheme="minorHAnsi" w:hAnsiTheme="minorHAnsi" w:cstheme="minorHAnsi"/>
          <w:i/>
          <w:iCs/>
        </w:rPr>
        <w:t>-</w:t>
      </w:r>
      <w:r w:rsidRPr="00E35810">
        <w:rPr>
          <w:rFonts w:asciiTheme="minorHAnsi" w:hAnsiTheme="minorHAnsi" w:cstheme="minorHAnsi"/>
          <w:i/>
          <w:iCs/>
        </w:rPr>
        <w:t>General</w:t>
      </w:r>
      <w:r w:rsidRPr="00E35810">
        <w:rPr>
          <w:rFonts w:asciiTheme="minorHAnsi" w:hAnsiTheme="minorHAnsi" w:cstheme="minorHAnsi"/>
        </w:rPr>
        <w:t xml:space="preserve"> (1995) 6 TCLR 696</w:t>
      </w:r>
      <w:r w:rsidR="00373986" w:rsidRPr="00E35810">
        <w:rPr>
          <w:rFonts w:asciiTheme="minorHAnsi" w:hAnsiTheme="minorHAnsi" w:cstheme="minorHAnsi"/>
        </w:rPr>
        <w:t xml:space="preserve"> (HC)</w:t>
      </w:r>
      <w:r w:rsidR="003E715C" w:rsidRPr="00E35810">
        <w:rPr>
          <w:rFonts w:asciiTheme="minorHAnsi" w:hAnsiTheme="minorHAnsi" w:cstheme="minorHAnsi"/>
        </w:rPr>
        <w:t xml:space="preserve">, overturned on appeal in </w:t>
      </w:r>
      <w:r w:rsidR="008820B3" w:rsidRPr="00E35810">
        <w:rPr>
          <w:rFonts w:asciiTheme="minorHAnsi" w:hAnsiTheme="minorHAnsi" w:cstheme="minorHAnsi"/>
          <w:i/>
          <w:iCs/>
          <w:color w:val="000000"/>
          <w:shd w:val="clear" w:color="auto" w:fill="FFFFFF"/>
        </w:rPr>
        <w:t>Rod Milner Motors Ltd v Attorney-General</w:t>
      </w:r>
      <w:r w:rsidR="008820B3" w:rsidRPr="00E35810">
        <w:rPr>
          <w:rFonts w:asciiTheme="minorHAnsi" w:hAnsiTheme="minorHAnsi" w:cstheme="minorHAnsi"/>
          <w:color w:val="000000"/>
          <w:shd w:val="clear" w:color="auto" w:fill="FFFFFF"/>
        </w:rPr>
        <w:t xml:space="preserve"> [1999] 2 NZLR 568</w:t>
      </w:r>
      <w:r w:rsidR="00373986" w:rsidRPr="00E35810">
        <w:rPr>
          <w:rFonts w:asciiTheme="minorHAnsi" w:hAnsiTheme="minorHAnsi" w:cstheme="minorHAnsi"/>
          <w:color w:val="000000"/>
          <w:shd w:val="clear" w:color="auto" w:fill="FFFFFF"/>
        </w:rPr>
        <w:t xml:space="preserve"> (CA)</w:t>
      </w:r>
      <w:r w:rsidR="00263BB7" w:rsidRPr="00E35810">
        <w:rPr>
          <w:rFonts w:asciiTheme="minorHAnsi" w:hAnsiTheme="minorHAnsi" w:cstheme="minorHAnsi"/>
          <w:color w:val="000000"/>
          <w:shd w:val="clear" w:color="auto" w:fill="FFFFFF"/>
        </w:rPr>
        <w:t xml:space="preserve">; </w:t>
      </w:r>
      <w:r w:rsidR="00263BB7" w:rsidRPr="00E35810">
        <w:rPr>
          <w:rFonts w:asciiTheme="minorHAnsi" w:hAnsiTheme="minorHAnsi" w:cstheme="minorHAnsi"/>
          <w:i/>
          <w:iCs/>
        </w:rPr>
        <w:t>Chisholm v Auckland City Council</w:t>
      </w:r>
      <w:r w:rsidR="00263BB7" w:rsidRPr="00E35810">
        <w:rPr>
          <w:rFonts w:asciiTheme="minorHAnsi" w:hAnsiTheme="minorHAnsi" w:cstheme="minorHAnsi"/>
        </w:rPr>
        <w:t xml:space="preserve"> [2002] NZRMA </w:t>
      </w:r>
      <w:r w:rsidR="00C300BD" w:rsidRPr="00E35810">
        <w:rPr>
          <w:rFonts w:asciiTheme="minorHAnsi" w:hAnsiTheme="minorHAnsi" w:cstheme="minorHAnsi"/>
        </w:rPr>
        <w:t>3</w:t>
      </w:r>
      <w:r w:rsidR="00263BB7" w:rsidRPr="00E35810">
        <w:rPr>
          <w:rFonts w:asciiTheme="minorHAnsi" w:hAnsiTheme="minorHAnsi" w:cstheme="minorHAnsi"/>
        </w:rPr>
        <w:t>62</w:t>
      </w:r>
      <w:r w:rsidR="00373986" w:rsidRPr="00E35810">
        <w:rPr>
          <w:rFonts w:asciiTheme="minorHAnsi" w:hAnsiTheme="minorHAnsi" w:cstheme="minorHAnsi"/>
        </w:rPr>
        <w:t xml:space="preserve"> (HC)</w:t>
      </w:r>
      <w:r w:rsidR="00263BB7" w:rsidRPr="00E35810">
        <w:rPr>
          <w:rFonts w:asciiTheme="minorHAnsi" w:hAnsiTheme="minorHAnsi" w:cstheme="minorHAnsi"/>
        </w:rPr>
        <w:t>;</w:t>
      </w:r>
      <w:r w:rsidR="00263BB7" w:rsidRPr="00E35810">
        <w:rPr>
          <w:rFonts w:asciiTheme="minorHAnsi" w:hAnsiTheme="minorHAnsi" w:cstheme="minorHAnsi"/>
          <w:i/>
          <w:iCs/>
        </w:rPr>
        <w:t xml:space="preserve"> Arms v New Plymouth District Council</w:t>
      </w:r>
      <w:r w:rsidR="00263BB7" w:rsidRPr="00E35810">
        <w:rPr>
          <w:rFonts w:asciiTheme="minorHAnsi" w:hAnsiTheme="minorHAnsi" w:cstheme="minorHAnsi"/>
        </w:rPr>
        <w:t xml:space="preserve"> HC New Plymouth CIV-2006-043-399, 14 May 2008</w:t>
      </w:r>
      <w:r w:rsidR="00652A22" w:rsidRPr="00E35810">
        <w:rPr>
          <w:rFonts w:asciiTheme="minorHAnsi" w:hAnsiTheme="minorHAnsi" w:cstheme="minorHAnsi"/>
        </w:rPr>
        <w:t>.</w:t>
      </w:r>
    </w:p>
  </w:footnote>
  <w:footnote w:id="88">
    <w:p w14:paraId="6907CBD8" w14:textId="7DDE65C4" w:rsidR="0003026B" w:rsidRPr="00E35810" w:rsidRDefault="0003026B"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1C1874" w:rsidRPr="00E35810">
        <w:rPr>
          <w:rFonts w:asciiTheme="minorHAnsi" w:hAnsiTheme="minorHAnsi" w:cstheme="minorHAnsi"/>
        </w:rPr>
        <w:tab/>
      </w:r>
      <w:r w:rsidRPr="00E35810">
        <w:rPr>
          <w:rFonts w:asciiTheme="minorHAnsi" w:hAnsiTheme="minorHAnsi" w:cstheme="minorHAnsi"/>
          <w:i/>
          <w:iCs/>
          <w:color w:val="000000"/>
          <w:shd w:val="clear" w:color="auto" w:fill="FFFFFF"/>
        </w:rPr>
        <w:t>Clee v Attorney-General</w:t>
      </w:r>
      <w:r w:rsidR="006F6796" w:rsidRPr="00E35810">
        <w:rPr>
          <w:rFonts w:asciiTheme="minorHAnsi" w:hAnsiTheme="minorHAnsi" w:cstheme="minorHAnsi"/>
          <w:i/>
          <w:iCs/>
          <w:color w:val="000000"/>
          <w:shd w:val="clear" w:color="auto" w:fill="FFFFFF"/>
        </w:rPr>
        <w:t xml:space="preserve"> for the Legal Services Agency</w:t>
      </w:r>
      <w:r w:rsidRPr="00E35810">
        <w:rPr>
          <w:rFonts w:asciiTheme="minorHAnsi" w:hAnsiTheme="minorHAnsi" w:cstheme="minorHAnsi"/>
          <w:i/>
          <w:iCs/>
          <w:color w:val="000000"/>
          <w:shd w:val="clear" w:color="auto" w:fill="FFFFFF"/>
        </w:rPr>
        <w:t xml:space="preserve"> </w:t>
      </w:r>
      <w:r w:rsidRPr="00E35810">
        <w:rPr>
          <w:rFonts w:asciiTheme="minorHAnsi" w:hAnsiTheme="minorHAnsi" w:cstheme="minorHAnsi"/>
          <w:color w:val="000000"/>
          <w:shd w:val="clear" w:color="auto" w:fill="FFFFFF"/>
        </w:rPr>
        <w:t>HC Auckland CIV-2010-404-7101, 12 November 2010</w:t>
      </w:r>
      <w:r w:rsidR="00AF041A" w:rsidRPr="00E35810">
        <w:rPr>
          <w:rFonts w:asciiTheme="minorHAnsi" w:hAnsiTheme="minorHAnsi" w:cstheme="minorHAnsi"/>
          <w:color w:val="000000"/>
          <w:shd w:val="clear" w:color="auto" w:fill="FFFFFF"/>
        </w:rPr>
        <w:t>.</w:t>
      </w:r>
    </w:p>
  </w:footnote>
  <w:footnote w:id="89">
    <w:p w14:paraId="30030F19" w14:textId="699D8C6F" w:rsidR="0003026B" w:rsidRPr="00E35810" w:rsidRDefault="0003026B"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1C1874" w:rsidRPr="00E35810">
        <w:rPr>
          <w:rFonts w:asciiTheme="minorHAnsi" w:hAnsiTheme="minorHAnsi" w:cstheme="minorHAnsi"/>
        </w:rPr>
        <w:tab/>
      </w:r>
      <w:r w:rsidR="00C300BD" w:rsidRPr="00E35810">
        <w:rPr>
          <w:rFonts w:asciiTheme="minorHAnsi" w:hAnsiTheme="minorHAnsi" w:cstheme="minorHAnsi"/>
          <w:i/>
          <w:iCs/>
        </w:rPr>
        <w:t xml:space="preserve">Integrated </w:t>
      </w:r>
      <w:r w:rsidRPr="00E35810">
        <w:rPr>
          <w:rFonts w:asciiTheme="minorHAnsi" w:hAnsiTheme="minorHAnsi" w:cstheme="minorHAnsi"/>
          <w:i/>
          <w:iCs/>
        </w:rPr>
        <w:t>Education Software L</w:t>
      </w:r>
      <w:r w:rsidR="00C300BD" w:rsidRPr="00E35810">
        <w:rPr>
          <w:rFonts w:asciiTheme="minorHAnsi" w:hAnsiTheme="minorHAnsi" w:cstheme="minorHAnsi"/>
          <w:i/>
          <w:iCs/>
        </w:rPr>
        <w:t>t</w:t>
      </w:r>
      <w:r w:rsidRPr="00E35810">
        <w:rPr>
          <w:rFonts w:asciiTheme="minorHAnsi" w:hAnsiTheme="minorHAnsi" w:cstheme="minorHAnsi"/>
          <w:i/>
          <w:iCs/>
        </w:rPr>
        <w:t xml:space="preserve">d v Attorney-General on </w:t>
      </w:r>
      <w:r w:rsidR="006F6796" w:rsidRPr="00E35810">
        <w:rPr>
          <w:rFonts w:asciiTheme="minorHAnsi" w:hAnsiTheme="minorHAnsi" w:cstheme="minorHAnsi"/>
          <w:i/>
          <w:iCs/>
        </w:rPr>
        <w:t>b</w:t>
      </w:r>
      <w:r w:rsidRPr="00E35810">
        <w:rPr>
          <w:rFonts w:asciiTheme="minorHAnsi" w:hAnsiTheme="minorHAnsi" w:cstheme="minorHAnsi"/>
          <w:i/>
          <w:iCs/>
        </w:rPr>
        <w:t>ehalf of the Ministry of Education</w:t>
      </w:r>
      <w:r w:rsidRPr="00E35810">
        <w:rPr>
          <w:rFonts w:asciiTheme="minorHAnsi" w:hAnsiTheme="minorHAnsi" w:cstheme="minorHAnsi"/>
        </w:rPr>
        <w:t xml:space="preserve"> [2012] NZHC 837</w:t>
      </w:r>
      <w:r w:rsidR="00AF041A" w:rsidRPr="00E35810">
        <w:rPr>
          <w:rFonts w:asciiTheme="minorHAnsi" w:hAnsiTheme="minorHAnsi" w:cstheme="minorHAnsi"/>
        </w:rPr>
        <w:t>.</w:t>
      </w:r>
    </w:p>
  </w:footnote>
  <w:footnote w:id="90">
    <w:p w14:paraId="3C823469" w14:textId="5C21649A" w:rsidR="00F663ED" w:rsidRPr="00E35810" w:rsidRDefault="00F663ED"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1C1874" w:rsidRPr="00E35810">
        <w:rPr>
          <w:rFonts w:asciiTheme="minorHAnsi" w:hAnsiTheme="minorHAnsi" w:cstheme="minorHAnsi"/>
        </w:rPr>
        <w:tab/>
      </w:r>
      <w:r w:rsidRPr="00E35810">
        <w:rPr>
          <w:rFonts w:asciiTheme="minorHAnsi" w:hAnsiTheme="minorHAnsi" w:cstheme="minorHAnsi"/>
        </w:rPr>
        <w:t xml:space="preserve">Healey and Coles, </w:t>
      </w:r>
      <w:r w:rsidR="00D95FE5" w:rsidRPr="00E35810">
        <w:rPr>
          <w:rFonts w:asciiTheme="minorHAnsi" w:hAnsiTheme="minorHAnsi" w:cstheme="minorHAnsi"/>
        </w:rPr>
        <w:t xml:space="preserve">above n </w:t>
      </w:r>
      <w:r w:rsidR="006F6796" w:rsidRPr="00E35810">
        <w:rPr>
          <w:rFonts w:asciiTheme="minorHAnsi" w:hAnsiTheme="minorHAnsi" w:cstheme="minorHAnsi"/>
        </w:rPr>
        <w:fldChar w:fldCharType="begin"/>
      </w:r>
      <w:r w:rsidR="006F6796" w:rsidRPr="00E35810">
        <w:rPr>
          <w:rFonts w:asciiTheme="minorHAnsi" w:hAnsiTheme="minorHAnsi" w:cstheme="minorHAnsi"/>
        </w:rPr>
        <w:instrText xml:space="preserve"> NOTEREF _Ref136281492 \h </w:instrText>
      </w:r>
      <w:r w:rsidR="00CA7C8B" w:rsidRPr="00E35810">
        <w:rPr>
          <w:rFonts w:asciiTheme="minorHAnsi" w:hAnsiTheme="minorHAnsi" w:cstheme="minorHAnsi"/>
        </w:rPr>
        <w:instrText xml:space="preserve"> \* MERGEFORMAT </w:instrText>
      </w:r>
      <w:r w:rsidR="006F6796" w:rsidRPr="00E35810">
        <w:rPr>
          <w:rFonts w:asciiTheme="minorHAnsi" w:hAnsiTheme="minorHAnsi" w:cstheme="minorHAnsi"/>
        </w:rPr>
      </w:r>
      <w:r w:rsidR="006F6796" w:rsidRPr="00E35810">
        <w:rPr>
          <w:rFonts w:asciiTheme="minorHAnsi" w:hAnsiTheme="minorHAnsi" w:cstheme="minorHAnsi"/>
        </w:rPr>
        <w:fldChar w:fldCharType="separate"/>
      </w:r>
      <w:r w:rsidR="000E1DCF" w:rsidRPr="00E35810">
        <w:rPr>
          <w:rFonts w:asciiTheme="minorHAnsi" w:hAnsiTheme="minorHAnsi" w:cstheme="minorHAnsi"/>
        </w:rPr>
        <w:t>17</w:t>
      </w:r>
      <w:r w:rsidR="006F6796" w:rsidRPr="00E35810">
        <w:rPr>
          <w:rFonts w:asciiTheme="minorHAnsi" w:hAnsiTheme="minorHAnsi" w:cstheme="minorHAnsi"/>
        </w:rPr>
        <w:fldChar w:fldCharType="end"/>
      </w:r>
      <w:r w:rsidR="00AD7286" w:rsidRPr="00E35810">
        <w:rPr>
          <w:rFonts w:asciiTheme="minorHAnsi" w:hAnsiTheme="minorHAnsi" w:cstheme="minorHAnsi"/>
        </w:rPr>
        <w:t>.</w:t>
      </w:r>
    </w:p>
  </w:footnote>
  <w:footnote w:id="91">
    <w:p w14:paraId="0846ECA8" w14:textId="75CEC614" w:rsidR="00FE53F5" w:rsidRPr="00E35810" w:rsidRDefault="00FE53F5"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1C1874" w:rsidRPr="00E35810">
        <w:rPr>
          <w:rFonts w:asciiTheme="minorHAnsi" w:hAnsiTheme="minorHAnsi" w:cstheme="minorHAnsi"/>
        </w:rPr>
        <w:tab/>
      </w:r>
      <w:r w:rsidRPr="00E35810">
        <w:rPr>
          <w:rFonts w:asciiTheme="minorHAnsi" w:hAnsiTheme="minorHAnsi" w:cstheme="minorHAnsi"/>
          <w:i/>
          <w:iCs/>
        </w:rPr>
        <w:t xml:space="preserve">Marina Holdings </w:t>
      </w:r>
      <w:r w:rsidR="006F6796" w:rsidRPr="00E35810">
        <w:rPr>
          <w:rFonts w:asciiTheme="minorHAnsi" w:hAnsiTheme="minorHAnsi" w:cstheme="minorHAnsi"/>
          <w:i/>
          <w:iCs/>
        </w:rPr>
        <w:t xml:space="preserve">Ltd </w:t>
      </w:r>
      <w:r w:rsidRPr="00E35810">
        <w:rPr>
          <w:rFonts w:asciiTheme="minorHAnsi" w:hAnsiTheme="minorHAnsi" w:cstheme="minorHAnsi"/>
          <w:i/>
          <w:iCs/>
        </w:rPr>
        <w:t xml:space="preserve">(in </w:t>
      </w:r>
      <w:r w:rsidR="006F6796" w:rsidRPr="00E35810">
        <w:rPr>
          <w:rFonts w:asciiTheme="minorHAnsi" w:hAnsiTheme="minorHAnsi" w:cstheme="minorHAnsi"/>
          <w:i/>
          <w:iCs/>
        </w:rPr>
        <w:t>r</w:t>
      </w:r>
      <w:r w:rsidRPr="00E35810">
        <w:rPr>
          <w:rFonts w:asciiTheme="minorHAnsi" w:hAnsiTheme="minorHAnsi" w:cstheme="minorHAnsi"/>
          <w:i/>
          <w:iCs/>
        </w:rPr>
        <w:t>ec) v Thames-Coromandel District Council</w:t>
      </w:r>
      <w:r w:rsidRPr="00E35810">
        <w:rPr>
          <w:rFonts w:asciiTheme="minorHAnsi" w:hAnsiTheme="minorHAnsi" w:cstheme="minorHAnsi"/>
        </w:rPr>
        <w:t xml:space="preserve"> (2010) </w:t>
      </w:r>
      <w:r w:rsidR="006F6796" w:rsidRPr="00E35810">
        <w:rPr>
          <w:rFonts w:asciiTheme="minorHAnsi" w:hAnsiTheme="minorHAnsi" w:cstheme="minorHAnsi"/>
        </w:rPr>
        <w:t>1</w:t>
      </w:r>
      <w:r w:rsidRPr="00E35810">
        <w:rPr>
          <w:rFonts w:asciiTheme="minorHAnsi" w:hAnsiTheme="minorHAnsi" w:cstheme="minorHAnsi"/>
        </w:rPr>
        <w:t>2 NZCPR 277</w:t>
      </w:r>
      <w:r w:rsidR="00364E66" w:rsidRPr="00E35810">
        <w:rPr>
          <w:rFonts w:asciiTheme="minorHAnsi" w:hAnsiTheme="minorHAnsi" w:cstheme="minorHAnsi"/>
        </w:rPr>
        <w:t xml:space="preserve"> (HC)</w:t>
      </w:r>
      <w:r w:rsidR="00AF041A" w:rsidRPr="00E35810">
        <w:rPr>
          <w:rFonts w:asciiTheme="minorHAnsi" w:hAnsiTheme="minorHAnsi" w:cstheme="minorHAnsi"/>
        </w:rPr>
        <w:t>.</w:t>
      </w:r>
    </w:p>
  </w:footnote>
  <w:footnote w:id="92">
    <w:p w14:paraId="3EE5E496" w14:textId="1891D63E" w:rsidR="00690578" w:rsidRPr="00E35810" w:rsidRDefault="00690578"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1C1874" w:rsidRPr="00E35810">
        <w:rPr>
          <w:rFonts w:asciiTheme="minorHAnsi" w:hAnsiTheme="minorHAnsi" w:cstheme="minorHAnsi"/>
        </w:rPr>
        <w:tab/>
      </w:r>
      <w:r w:rsidRPr="00E35810">
        <w:rPr>
          <w:rFonts w:asciiTheme="minorHAnsi" w:hAnsiTheme="minorHAnsi" w:cstheme="minorHAnsi"/>
        </w:rPr>
        <w:t>Blacktop</w:t>
      </w:r>
      <w:r w:rsidR="00D95FE5" w:rsidRPr="00E35810">
        <w:rPr>
          <w:rFonts w:asciiTheme="minorHAnsi" w:hAnsiTheme="minorHAnsi" w:cstheme="minorHAnsi"/>
        </w:rPr>
        <w:t xml:space="preserve">, above n </w:t>
      </w:r>
      <w:r w:rsidR="006F6796" w:rsidRPr="00E35810">
        <w:rPr>
          <w:rFonts w:asciiTheme="minorHAnsi" w:hAnsiTheme="minorHAnsi" w:cstheme="minorHAnsi"/>
        </w:rPr>
        <w:fldChar w:fldCharType="begin"/>
      </w:r>
      <w:r w:rsidR="006F6796" w:rsidRPr="00E35810">
        <w:rPr>
          <w:rFonts w:asciiTheme="minorHAnsi" w:hAnsiTheme="minorHAnsi" w:cstheme="minorHAnsi"/>
        </w:rPr>
        <w:instrText xml:space="preserve"> NOTEREF _Ref136281373 \h </w:instrText>
      </w:r>
      <w:r w:rsidR="00CA7C8B" w:rsidRPr="00E35810">
        <w:rPr>
          <w:rFonts w:asciiTheme="minorHAnsi" w:hAnsiTheme="minorHAnsi" w:cstheme="minorHAnsi"/>
        </w:rPr>
        <w:instrText xml:space="preserve"> \* MERGEFORMAT </w:instrText>
      </w:r>
      <w:r w:rsidR="006F6796" w:rsidRPr="00E35810">
        <w:rPr>
          <w:rFonts w:asciiTheme="minorHAnsi" w:hAnsiTheme="minorHAnsi" w:cstheme="minorHAnsi"/>
        </w:rPr>
      </w:r>
      <w:r w:rsidR="006F6796" w:rsidRPr="00E35810">
        <w:rPr>
          <w:rFonts w:asciiTheme="minorHAnsi" w:hAnsiTheme="minorHAnsi" w:cstheme="minorHAnsi"/>
        </w:rPr>
        <w:fldChar w:fldCharType="separate"/>
      </w:r>
      <w:r w:rsidR="000E1DCF" w:rsidRPr="00E35810">
        <w:rPr>
          <w:rFonts w:asciiTheme="minorHAnsi" w:hAnsiTheme="minorHAnsi" w:cstheme="minorHAnsi"/>
        </w:rPr>
        <w:t>62</w:t>
      </w:r>
      <w:r w:rsidR="006F6796" w:rsidRPr="00E35810">
        <w:rPr>
          <w:rFonts w:asciiTheme="minorHAnsi" w:hAnsiTheme="minorHAnsi" w:cstheme="minorHAnsi"/>
        </w:rPr>
        <w:fldChar w:fldCharType="end"/>
      </w:r>
      <w:r w:rsidR="00D95FE5" w:rsidRPr="00E35810">
        <w:rPr>
          <w:rFonts w:asciiTheme="minorHAnsi" w:hAnsiTheme="minorHAnsi" w:cstheme="minorHAnsi"/>
        </w:rPr>
        <w:t>,</w:t>
      </w:r>
      <w:r w:rsidRPr="00E35810">
        <w:rPr>
          <w:rFonts w:asciiTheme="minorHAnsi" w:hAnsiTheme="minorHAnsi" w:cstheme="minorHAnsi"/>
        </w:rPr>
        <w:t xml:space="preserve"> at [38].</w:t>
      </w:r>
    </w:p>
  </w:footnote>
  <w:footnote w:id="93">
    <w:p w14:paraId="143E5BAD" w14:textId="19441C0C" w:rsidR="00166400" w:rsidRPr="00E35810" w:rsidRDefault="00166400"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1C1874" w:rsidRPr="00E35810">
        <w:rPr>
          <w:rFonts w:asciiTheme="minorHAnsi" w:hAnsiTheme="minorHAnsi" w:cstheme="minorHAnsi"/>
        </w:rPr>
        <w:tab/>
      </w:r>
      <w:r w:rsidRPr="00E35810">
        <w:rPr>
          <w:rFonts w:asciiTheme="minorHAnsi" w:hAnsiTheme="minorHAnsi" w:cstheme="minorHAnsi"/>
          <w:i/>
          <w:iCs/>
        </w:rPr>
        <w:t>Te Whanau O Waipareira Trust v Attorney-General</w:t>
      </w:r>
      <w:r w:rsidRPr="00E35810">
        <w:rPr>
          <w:rFonts w:asciiTheme="minorHAnsi" w:hAnsiTheme="minorHAnsi" w:cstheme="minorHAnsi"/>
        </w:rPr>
        <w:t xml:space="preserve"> [2012] NZHC 3107.</w:t>
      </w:r>
    </w:p>
  </w:footnote>
  <w:footnote w:id="94">
    <w:p w14:paraId="2E33920D" w14:textId="3575D1ED" w:rsidR="008E4551" w:rsidRPr="00E35810" w:rsidRDefault="008E4551"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1C1874" w:rsidRPr="00E35810">
        <w:rPr>
          <w:rFonts w:asciiTheme="minorHAnsi" w:hAnsiTheme="minorHAnsi" w:cstheme="minorHAnsi"/>
        </w:rPr>
        <w:tab/>
      </w:r>
      <w:r w:rsidRPr="00E35810">
        <w:rPr>
          <w:rFonts w:asciiTheme="minorHAnsi" w:hAnsiTheme="minorHAnsi" w:cstheme="minorHAnsi"/>
        </w:rPr>
        <w:t>For example, there was no dispute that the public body was in trade in either</w:t>
      </w:r>
      <w:r w:rsidR="0070050B" w:rsidRPr="00E35810">
        <w:rPr>
          <w:rFonts w:asciiTheme="minorHAnsi" w:hAnsiTheme="minorHAnsi" w:cstheme="minorHAnsi"/>
        </w:rPr>
        <w:t xml:space="preserve"> of the tendering situations in</w:t>
      </w:r>
      <w:r w:rsidRPr="00E35810">
        <w:rPr>
          <w:rFonts w:asciiTheme="minorHAnsi" w:hAnsiTheme="minorHAnsi" w:cstheme="minorHAnsi"/>
        </w:rPr>
        <w:t xml:space="preserve"> </w:t>
      </w:r>
      <w:r w:rsidRPr="00E35810">
        <w:rPr>
          <w:rFonts w:asciiTheme="minorHAnsi" w:hAnsiTheme="minorHAnsi" w:cstheme="minorHAnsi"/>
          <w:i/>
          <w:iCs/>
        </w:rPr>
        <w:t>Gregory v Rangitikei District Council</w:t>
      </w:r>
      <w:r w:rsidRPr="00E35810">
        <w:rPr>
          <w:rFonts w:asciiTheme="minorHAnsi" w:hAnsiTheme="minorHAnsi" w:cstheme="minorHAnsi"/>
        </w:rPr>
        <w:t xml:space="preserve"> [1995] 2 NZLR 208</w:t>
      </w:r>
      <w:r w:rsidR="00927C88" w:rsidRPr="00E35810">
        <w:rPr>
          <w:rFonts w:asciiTheme="minorHAnsi" w:hAnsiTheme="minorHAnsi" w:cstheme="minorHAnsi"/>
        </w:rPr>
        <w:t xml:space="preserve"> (HC)</w:t>
      </w:r>
      <w:r w:rsidRPr="00E35810">
        <w:rPr>
          <w:rFonts w:asciiTheme="minorHAnsi" w:hAnsiTheme="minorHAnsi" w:cstheme="minorHAnsi"/>
        </w:rPr>
        <w:t xml:space="preserve">, or </w:t>
      </w:r>
      <w:r w:rsidR="009A46DF" w:rsidRPr="00E35810">
        <w:rPr>
          <w:rFonts w:asciiTheme="minorHAnsi" w:hAnsiTheme="minorHAnsi" w:cstheme="minorHAnsi"/>
          <w:i/>
          <w:iCs/>
          <w:color w:val="000000"/>
          <w:shd w:val="clear" w:color="auto" w:fill="FFFFFF"/>
        </w:rPr>
        <w:t>New Zealand Private Hospitals Association-Auckland Branch (Inc) v Northern Regional Health Authority</w:t>
      </w:r>
      <w:r w:rsidR="009A46DF" w:rsidRPr="00E35810">
        <w:rPr>
          <w:rFonts w:asciiTheme="minorHAnsi" w:hAnsiTheme="minorHAnsi" w:cstheme="minorHAnsi"/>
          <w:color w:val="000000"/>
          <w:shd w:val="clear" w:color="auto" w:fill="FFFFFF"/>
        </w:rPr>
        <w:t xml:space="preserve"> HC Auckland CP440/94, 7 December 1994</w:t>
      </w:r>
    </w:p>
  </w:footnote>
  <w:footnote w:id="95">
    <w:p w14:paraId="0C1572F9" w14:textId="61596D4E" w:rsidR="00874485" w:rsidRPr="00E35810" w:rsidRDefault="00874485"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1C1874" w:rsidRPr="00E35810">
        <w:rPr>
          <w:rFonts w:asciiTheme="minorHAnsi" w:hAnsiTheme="minorHAnsi" w:cstheme="minorHAnsi"/>
        </w:rPr>
        <w:tab/>
      </w:r>
      <w:r w:rsidR="00E11E44" w:rsidRPr="00E35810">
        <w:rPr>
          <w:rFonts w:asciiTheme="minorHAnsi" w:hAnsiTheme="minorHAnsi" w:cstheme="minorHAnsi"/>
        </w:rPr>
        <w:t>Government</w:t>
      </w:r>
      <w:r w:rsidR="00FC71E2" w:rsidRPr="00E35810">
        <w:rPr>
          <w:rFonts w:asciiTheme="minorHAnsi" w:hAnsiTheme="minorHAnsi" w:cstheme="minorHAnsi"/>
        </w:rPr>
        <w:t xml:space="preserve"> of New Zealand</w:t>
      </w:r>
      <w:r w:rsidR="00E11E44" w:rsidRPr="00E35810">
        <w:rPr>
          <w:rFonts w:asciiTheme="minorHAnsi" w:hAnsiTheme="minorHAnsi" w:cstheme="minorHAnsi"/>
        </w:rPr>
        <w:t xml:space="preserve"> </w:t>
      </w:r>
      <w:r w:rsidRPr="00E35810">
        <w:rPr>
          <w:rFonts w:asciiTheme="minorHAnsi" w:hAnsiTheme="minorHAnsi" w:cstheme="minorHAnsi"/>
          <w:i/>
          <w:iCs/>
        </w:rPr>
        <w:t>Government Expectations for Good Regulatory Practice</w:t>
      </w:r>
      <w:r w:rsidR="00596981" w:rsidRPr="00E35810">
        <w:rPr>
          <w:rFonts w:asciiTheme="minorHAnsi" w:hAnsiTheme="minorHAnsi" w:cstheme="minorHAnsi"/>
        </w:rPr>
        <w:t xml:space="preserve"> (</w:t>
      </w:r>
      <w:r w:rsidRPr="00E35810">
        <w:rPr>
          <w:rFonts w:asciiTheme="minorHAnsi" w:hAnsiTheme="minorHAnsi" w:cstheme="minorHAnsi"/>
        </w:rPr>
        <w:t>April 2017</w:t>
      </w:r>
      <w:r w:rsidR="00596981" w:rsidRPr="00E35810">
        <w:rPr>
          <w:rFonts w:asciiTheme="minorHAnsi" w:hAnsiTheme="minorHAnsi" w:cstheme="minorHAnsi"/>
        </w:rPr>
        <w:t>)</w:t>
      </w:r>
      <w:r w:rsidRPr="00E35810">
        <w:rPr>
          <w:rFonts w:asciiTheme="minorHAnsi" w:hAnsiTheme="minorHAnsi" w:cstheme="minorHAnsi"/>
        </w:rPr>
        <w:t xml:space="preserve"> at 2.</w:t>
      </w:r>
    </w:p>
  </w:footnote>
  <w:footnote w:id="96">
    <w:p w14:paraId="2DE87F18" w14:textId="62D81C99" w:rsidR="00874485" w:rsidRPr="00E35810" w:rsidRDefault="00874485"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1C1874" w:rsidRPr="00E35810">
        <w:rPr>
          <w:rFonts w:asciiTheme="minorHAnsi" w:hAnsiTheme="minorHAnsi" w:cstheme="minorHAnsi"/>
        </w:rPr>
        <w:tab/>
      </w:r>
      <w:r w:rsidRPr="00E35810">
        <w:rPr>
          <w:rFonts w:asciiTheme="minorHAnsi" w:hAnsiTheme="minorHAnsi" w:cstheme="minorHAnsi"/>
        </w:rPr>
        <w:t>Cabinet Office Circular</w:t>
      </w:r>
      <w:r w:rsidR="00DC6622" w:rsidRPr="00E35810">
        <w:rPr>
          <w:rFonts w:asciiTheme="minorHAnsi" w:hAnsiTheme="minorHAnsi" w:cstheme="minorHAnsi"/>
        </w:rPr>
        <w:t xml:space="preserve"> “</w:t>
      </w:r>
      <w:r w:rsidRPr="00E35810">
        <w:rPr>
          <w:rFonts w:asciiTheme="minorHAnsi" w:hAnsiTheme="minorHAnsi" w:cstheme="minorHAnsi"/>
        </w:rPr>
        <w:t>Impact Analysis Requirements</w:t>
      </w:r>
      <w:r w:rsidR="008E4173" w:rsidRPr="00E35810">
        <w:rPr>
          <w:rFonts w:asciiTheme="minorHAnsi" w:hAnsiTheme="minorHAnsi" w:cstheme="minorHAnsi"/>
        </w:rPr>
        <w:t>” (26 June</w:t>
      </w:r>
      <w:r w:rsidRPr="00E35810">
        <w:rPr>
          <w:rFonts w:asciiTheme="minorHAnsi" w:hAnsiTheme="minorHAnsi" w:cstheme="minorHAnsi"/>
        </w:rPr>
        <w:t xml:space="preserve"> 2020</w:t>
      </w:r>
      <w:r w:rsidR="008E4173" w:rsidRPr="00E35810">
        <w:rPr>
          <w:rFonts w:asciiTheme="minorHAnsi" w:hAnsiTheme="minorHAnsi" w:cstheme="minorHAnsi"/>
        </w:rPr>
        <w:t xml:space="preserve">) </w:t>
      </w:r>
      <w:r w:rsidR="00081143" w:rsidRPr="00E35810">
        <w:rPr>
          <w:rFonts w:asciiTheme="minorHAnsi" w:hAnsiTheme="minorHAnsi" w:cstheme="minorHAnsi"/>
        </w:rPr>
        <w:t>CO (20)</w:t>
      </w:r>
      <w:r w:rsidR="00EA0B64" w:rsidRPr="00E35810">
        <w:rPr>
          <w:rFonts w:asciiTheme="minorHAnsi" w:hAnsiTheme="minorHAnsi" w:cstheme="minorHAnsi"/>
        </w:rPr>
        <w:t xml:space="preserve"> </w:t>
      </w:r>
      <w:r w:rsidR="00081143" w:rsidRPr="00E35810">
        <w:rPr>
          <w:rFonts w:asciiTheme="minorHAnsi" w:hAnsiTheme="minorHAnsi" w:cstheme="minorHAnsi"/>
        </w:rPr>
        <w:t>2</w:t>
      </w:r>
      <w:r w:rsidRPr="00E35810">
        <w:rPr>
          <w:rFonts w:asciiTheme="minorHAnsi" w:hAnsiTheme="minorHAnsi" w:cstheme="minorHAnsi"/>
        </w:rPr>
        <w:t>.</w:t>
      </w:r>
    </w:p>
  </w:footnote>
  <w:footnote w:id="97">
    <w:p w14:paraId="4B607DE1" w14:textId="1C927976" w:rsidR="00874485" w:rsidRPr="00E35810" w:rsidRDefault="00874485"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1C1874" w:rsidRPr="00E35810">
        <w:rPr>
          <w:rFonts w:asciiTheme="minorHAnsi" w:hAnsiTheme="minorHAnsi" w:cstheme="minorHAnsi"/>
        </w:rPr>
        <w:tab/>
      </w:r>
      <w:r w:rsidR="005F3FB3" w:rsidRPr="00E35810">
        <w:rPr>
          <w:rFonts w:asciiTheme="minorHAnsi" w:hAnsiTheme="minorHAnsi" w:cstheme="minorHAnsi"/>
        </w:rPr>
        <w:t>The Treasury</w:t>
      </w:r>
      <w:r w:rsidR="00E967A0" w:rsidRPr="00E35810">
        <w:rPr>
          <w:rFonts w:asciiTheme="minorHAnsi" w:hAnsiTheme="minorHAnsi" w:cstheme="minorHAnsi"/>
        </w:rPr>
        <w:t xml:space="preserve"> </w:t>
      </w:r>
      <w:r w:rsidR="00E967A0" w:rsidRPr="00E35810">
        <w:rPr>
          <w:rFonts w:asciiTheme="minorHAnsi" w:hAnsiTheme="minorHAnsi" w:cstheme="minorHAnsi"/>
          <w:i/>
          <w:iCs/>
        </w:rPr>
        <w:t>Guidance Note on Best Practice Impact Analysis</w:t>
      </w:r>
      <w:r w:rsidR="00E967A0" w:rsidRPr="00E35810">
        <w:rPr>
          <w:rFonts w:asciiTheme="minorHAnsi" w:hAnsiTheme="minorHAnsi" w:cstheme="minorHAnsi"/>
        </w:rPr>
        <w:t xml:space="preserve"> (</w:t>
      </w:r>
      <w:r w:rsidR="006271CD" w:rsidRPr="00E35810">
        <w:rPr>
          <w:rFonts w:asciiTheme="minorHAnsi" w:hAnsiTheme="minorHAnsi" w:cstheme="minorHAnsi"/>
        </w:rPr>
        <w:t>June</w:t>
      </w:r>
      <w:r w:rsidR="00E967A0" w:rsidRPr="00E35810">
        <w:rPr>
          <w:rFonts w:asciiTheme="minorHAnsi" w:hAnsiTheme="minorHAnsi" w:cstheme="minorHAnsi"/>
        </w:rPr>
        <w:t xml:space="preserve"> 2017)</w:t>
      </w:r>
      <w:r w:rsidRPr="00E35810">
        <w:rPr>
          <w:rFonts w:asciiTheme="minorHAnsi" w:hAnsiTheme="minorHAnsi" w:cstheme="minorHAnsi"/>
        </w:rPr>
        <w:t>.</w:t>
      </w:r>
    </w:p>
  </w:footnote>
  <w:footnote w:id="98">
    <w:p w14:paraId="4FCA097D" w14:textId="62C97A16" w:rsidR="00874485" w:rsidRPr="00E35810" w:rsidRDefault="00874485"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1C1874" w:rsidRPr="00E35810">
        <w:rPr>
          <w:rFonts w:asciiTheme="minorHAnsi" w:hAnsiTheme="minorHAnsi" w:cstheme="minorHAnsi"/>
        </w:rPr>
        <w:tab/>
      </w:r>
      <w:r w:rsidRPr="00E35810">
        <w:rPr>
          <w:rFonts w:asciiTheme="minorHAnsi" w:hAnsiTheme="minorHAnsi" w:cstheme="minorHAnsi"/>
        </w:rPr>
        <w:t>Commerce Commission</w:t>
      </w:r>
      <w:r w:rsidR="00412FF2" w:rsidRPr="00E35810">
        <w:rPr>
          <w:rFonts w:asciiTheme="minorHAnsi" w:hAnsiTheme="minorHAnsi" w:cstheme="minorHAnsi"/>
        </w:rPr>
        <w:t xml:space="preserve"> and </w:t>
      </w:r>
      <w:r w:rsidR="00AF1EAB" w:rsidRPr="00E35810">
        <w:rPr>
          <w:rFonts w:asciiTheme="minorHAnsi" w:hAnsiTheme="minorHAnsi" w:cstheme="minorHAnsi"/>
        </w:rPr>
        <w:t>Ministry for Business, Innovation and Employment</w:t>
      </w:r>
      <w:r w:rsidRPr="00E35810">
        <w:rPr>
          <w:rFonts w:asciiTheme="minorHAnsi" w:hAnsiTheme="minorHAnsi" w:cstheme="minorHAnsi"/>
        </w:rPr>
        <w:t xml:space="preserve"> </w:t>
      </w:r>
      <w:r w:rsidRPr="00E35810">
        <w:rPr>
          <w:rFonts w:asciiTheme="minorHAnsi" w:hAnsiTheme="minorHAnsi" w:cstheme="minorHAnsi"/>
          <w:i/>
          <w:iCs/>
        </w:rPr>
        <w:t>Competition Assessment Guidelines</w:t>
      </w:r>
      <w:r w:rsidR="006D2DF5" w:rsidRPr="00E35810">
        <w:rPr>
          <w:rFonts w:asciiTheme="minorHAnsi" w:hAnsiTheme="minorHAnsi" w:cstheme="minorHAnsi"/>
        </w:rPr>
        <w:t xml:space="preserve"> (</w:t>
      </w:r>
      <w:r w:rsidRPr="00E35810">
        <w:rPr>
          <w:rFonts w:asciiTheme="minorHAnsi" w:hAnsiTheme="minorHAnsi" w:cstheme="minorHAnsi"/>
        </w:rPr>
        <w:t>January 2022</w:t>
      </w:r>
      <w:r w:rsidR="006D2DF5" w:rsidRPr="00E35810">
        <w:rPr>
          <w:rFonts w:asciiTheme="minorHAnsi" w:hAnsiTheme="minorHAnsi" w:cstheme="minorHAnsi"/>
        </w:rPr>
        <w:t>)</w:t>
      </w:r>
      <w:r w:rsidRPr="00E35810">
        <w:rPr>
          <w:rFonts w:asciiTheme="minorHAnsi" w:hAnsiTheme="minorHAnsi" w:cstheme="minorHAnsi"/>
        </w:rPr>
        <w:t>.</w:t>
      </w:r>
    </w:p>
  </w:footnote>
  <w:footnote w:id="99">
    <w:p w14:paraId="14DAD7B4" w14:textId="4DD8E171" w:rsidR="00874485" w:rsidRPr="00E35810" w:rsidRDefault="00874485"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001C1874" w:rsidRPr="00E35810">
        <w:rPr>
          <w:rFonts w:asciiTheme="minorHAnsi" w:hAnsiTheme="minorHAnsi" w:cstheme="minorHAnsi"/>
        </w:rPr>
        <w:t xml:space="preserve"> </w:t>
      </w:r>
      <w:r w:rsidR="001C1874" w:rsidRPr="00E35810">
        <w:rPr>
          <w:rFonts w:asciiTheme="minorHAnsi" w:hAnsiTheme="minorHAnsi" w:cstheme="minorHAnsi"/>
        </w:rPr>
        <w:tab/>
      </w:r>
      <w:r w:rsidRPr="00E35810">
        <w:rPr>
          <w:rFonts w:asciiTheme="minorHAnsi" w:hAnsiTheme="minorHAnsi" w:cstheme="minorHAnsi"/>
        </w:rPr>
        <w:t>OECD</w:t>
      </w:r>
      <w:r w:rsidR="008E3000" w:rsidRPr="00E35810">
        <w:rPr>
          <w:rFonts w:asciiTheme="minorHAnsi" w:hAnsiTheme="minorHAnsi" w:cstheme="minorHAnsi"/>
        </w:rPr>
        <w:t xml:space="preserve"> </w:t>
      </w:r>
      <w:r w:rsidRPr="00E35810">
        <w:rPr>
          <w:rFonts w:asciiTheme="minorHAnsi" w:hAnsiTheme="minorHAnsi" w:cstheme="minorHAnsi"/>
          <w:i/>
          <w:iCs/>
        </w:rPr>
        <w:t>Competition Assessment</w:t>
      </w:r>
      <w:r w:rsidR="001112A6" w:rsidRPr="00E35810">
        <w:rPr>
          <w:rFonts w:asciiTheme="minorHAnsi" w:hAnsiTheme="minorHAnsi" w:cstheme="minorHAnsi"/>
          <w:i/>
          <w:iCs/>
        </w:rPr>
        <w:t xml:space="preserve"> </w:t>
      </w:r>
      <w:r w:rsidRPr="00E35810">
        <w:rPr>
          <w:rFonts w:asciiTheme="minorHAnsi" w:hAnsiTheme="minorHAnsi" w:cstheme="minorHAnsi"/>
          <w:i/>
          <w:iCs/>
        </w:rPr>
        <w:t>Toolkit</w:t>
      </w:r>
      <w:r w:rsidR="00CD5077" w:rsidRPr="00E35810">
        <w:rPr>
          <w:rFonts w:asciiTheme="minorHAnsi" w:hAnsiTheme="minorHAnsi" w:cstheme="minorHAnsi"/>
          <w:i/>
          <w:iCs/>
        </w:rPr>
        <w:t>: Volume 3 Operation</w:t>
      </w:r>
      <w:r w:rsidR="00DD73D1" w:rsidRPr="00E35810">
        <w:rPr>
          <w:rFonts w:asciiTheme="minorHAnsi" w:hAnsiTheme="minorHAnsi" w:cstheme="minorHAnsi"/>
          <w:i/>
          <w:iCs/>
        </w:rPr>
        <w:t>al</w:t>
      </w:r>
      <w:r w:rsidR="00CD5077" w:rsidRPr="00E35810">
        <w:rPr>
          <w:rFonts w:asciiTheme="minorHAnsi" w:hAnsiTheme="minorHAnsi" w:cstheme="minorHAnsi"/>
          <w:i/>
          <w:iCs/>
        </w:rPr>
        <w:t xml:space="preserve"> Manual</w:t>
      </w:r>
      <w:r w:rsidRPr="00E35810">
        <w:rPr>
          <w:rFonts w:asciiTheme="minorHAnsi" w:hAnsiTheme="minorHAnsi" w:cstheme="minorHAnsi"/>
        </w:rPr>
        <w:t xml:space="preserve"> (201</w:t>
      </w:r>
      <w:r w:rsidR="006B0521" w:rsidRPr="00E35810">
        <w:rPr>
          <w:rFonts w:asciiTheme="minorHAnsi" w:hAnsiTheme="minorHAnsi" w:cstheme="minorHAnsi"/>
        </w:rPr>
        <w:t>9</w:t>
      </w:r>
      <w:r w:rsidR="00100BDD" w:rsidRPr="00E35810">
        <w:rPr>
          <w:rFonts w:asciiTheme="minorHAnsi" w:hAnsiTheme="minorHAnsi" w:cstheme="minorHAnsi"/>
        </w:rPr>
        <w:t>)</w:t>
      </w:r>
      <w:r w:rsidR="00EF4CBE" w:rsidRPr="00E35810">
        <w:rPr>
          <w:rFonts w:asciiTheme="minorHAnsi" w:hAnsiTheme="minorHAnsi" w:cstheme="minorHAnsi"/>
        </w:rPr>
        <w:t>.</w:t>
      </w:r>
    </w:p>
  </w:footnote>
  <w:footnote w:id="100">
    <w:p w14:paraId="2A91DF52" w14:textId="144D800C" w:rsidR="00874485" w:rsidRPr="00E35810" w:rsidRDefault="00874485"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1C1874" w:rsidRPr="00E35810">
        <w:rPr>
          <w:rFonts w:asciiTheme="minorHAnsi" w:hAnsiTheme="minorHAnsi" w:cstheme="minorHAnsi"/>
        </w:rPr>
        <w:tab/>
      </w:r>
      <w:r w:rsidR="00B100D3" w:rsidRPr="00E35810">
        <w:rPr>
          <w:rFonts w:asciiTheme="minorHAnsi" w:hAnsiTheme="minorHAnsi" w:cstheme="minorHAnsi"/>
        </w:rPr>
        <w:t>Standing Orders of the House of Representatives</w:t>
      </w:r>
      <w:r w:rsidRPr="00E35810">
        <w:rPr>
          <w:rFonts w:asciiTheme="minorHAnsi" w:hAnsiTheme="minorHAnsi" w:cstheme="minorHAnsi"/>
        </w:rPr>
        <w:t xml:space="preserve"> </w:t>
      </w:r>
      <w:r w:rsidR="00080709" w:rsidRPr="00E35810">
        <w:rPr>
          <w:rFonts w:asciiTheme="minorHAnsi" w:hAnsiTheme="minorHAnsi" w:cstheme="minorHAnsi"/>
        </w:rPr>
        <w:t xml:space="preserve">2020, SO </w:t>
      </w:r>
      <w:r w:rsidRPr="00E35810">
        <w:rPr>
          <w:rFonts w:asciiTheme="minorHAnsi" w:hAnsiTheme="minorHAnsi" w:cstheme="minorHAnsi"/>
        </w:rPr>
        <w:t>327(2)(f).</w:t>
      </w:r>
    </w:p>
  </w:footnote>
  <w:footnote w:id="101">
    <w:p w14:paraId="393118D8" w14:textId="55F68950" w:rsidR="00874485" w:rsidRPr="00E35810" w:rsidRDefault="00874485" w:rsidP="006450F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1C1874" w:rsidRPr="00E35810">
        <w:rPr>
          <w:rFonts w:asciiTheme="minorHAnsi" w:hAnsiTheme="minorHAnsi" w:cstheme="minorHAnsi"/>
        </w:rPr>
        <w:tab/>
      </w:r>
      <w:r w:rsidR="002E1A06" w:rsidRPr="00E35810">
        <w:rPr>
          <w:rFonts w:asciiTheme="minorHAnsi" w:hAnsiTheme="minorHAnsi" w:cstheme="minorHAnsi"/>
        </w:rPr>
        <w:t xml:space="preserve">Dean R Knight and Edward Clark </w:t>
      </w:r>
      <w:r w:rsidR="002E1A06" w:rsidRPr="00E35810">
        <w:rPr>
          <w:rFonts w:asciiTheme="minorHAnsi" w:hAnsiTheme="minorHAnsi" w:cstheme="minorHAnsi"/>
          <w:i/>
          <w:iCs/>
        </w:rPr>
        <w:t>Regulations Review Committee Digest</w:t>
      </w:r>
      <w:r w:rsidR="002E1A06" w:rsidRPr="00E35810">
        <w:rPr>
          <w:rFonts w:asciiTheme="minorHAnsi" w:hAnsiTheme="minorHAnsi" w:cstheme="minorHAnsi"/>
        </w:rPr>
        <w:t xml:space="preserve"> (7th ed, New Zealand Centre for Public Law, Wellington, 2020)</w:t>
      </w:r>
      <w:r w:rsidR="001112A6" w:rsidRPr="00E35810">
        <w:rPr>
          <w:rFonts w:asciiTheme="minorHAnsi" w:hAnsiTheme="minorHAnsi" w:cstheme="minorHAnsi"/>
        </w:rPr>
        <w:t xml:space="preserve"> </w:t>
      </w:r>
      <w:r w:rsidRPr="00E35810">
        <w:rPr>
          <w:rFonts w:asciiTheme="minorHAnsi" w:hAnsiTheme="minorHAnsi" w:cstheme="minorHAnsi"/>
        </w:rPr>
        <w:t>at 99, citing Regulations Review Committee “Report of the Inquiry into the Appropriateness of Establishing the Kiwifruit Marketing Board Through Regulations</w:t>
      </w:r>
      <w:r w:rsidR="00E87F7D" w:rsidRPr="00E35810">
        <w:rPr>
          <w:rFonts w:asciiTheme="minorHAnsi" w:hAnsiTheme="minorHAnsi" w:cstheme="minorHAnsi"/>
        </w:rPr>
        <w:t>”</w:t>
      </w:r>
      <w:r w:rsidRPr="00E35810">
        <w:rPr>
          <w:rFonts w:asciiTheme="minorHAnsi" w:hAnsiTheme="minorHAnsi" w:cstheme="minorHAnsi"/>
        </w:rPr>
        <w:t xml:space="preserve"> [1988] AJHR I16.</w:t>
      </w:r>
    </w:p>
  </w:footnote>
  <w:footnote w:id="102">
    <w:p w14:paraId="2B92D7F5" w14:textId="5B8A6045" w:rsidR="00874485" w:rsidRPr="00E35810" w:rsidRDefault="00874485"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1C1874" w:rsidRPr="00E35810">
        <w:rPr>
          <w:rFonts w:asciiTheme="minorHAnsi" w:hAnsiTheme="minorHAnsi" w:cstheme="minorHAnsi"/>
        </w:rPr>
        <w:tab/>
      </w:r>
      <w:r w:rsidR="00E43499" w:rsidRPr="00E35810">
        <w:rPr>
          <w:rFonts w:asciiTheme="minorHAnsi" w:hAnsiTheme="minorHAnsi" w:cstheme="minorHAnsi"/>
        </w:rPr>
        <w:t xml:space="preserve">Standing Orders of the House of Representatives, SO </w:t>
      </w:r>
      <w:r w:rsidRPr="00E35810">
        <w:rPr>
          <w:rFonts w:asciiTheme="minorHAnsi" w:hAnsiTheme="minorHAnsi" w:cstheme="minorHAnsi"/>
        </w:rPr>
        <w:t xml:space="preserve">327(2)(a) </w:t>
      </w:r>
      <w:r w:rsidR="00171F1D" w:rsidRPr="00E35810">
        <w:rPr>
          <w:rFonts w:asciiTheme="minorHAnsi" w:hAnsiTheme="minorHAnsi" w:cstheme="minorHAnsi"/>
        </w:rPr>
        <w:t>and SO 327(2)</w:t>
      </w:r>
      <w:r w:rsidRPr="00E35810">
        <w:rPr>
          <w:rFonts w:asciiTheme="minorHAnsi" w:hAnsiTheme="minorHAnsi" w:cstheme="minorHAnsi"/>
        </w:rPr>
        <w:t>(c).</w:t>
      </w:r>
    </w:p>
  </w:footnote>
  <w:footnote w:id="103">
    <w:p w14:paraId="3B73A267" w14:textId="66D3B984" w:rsidR="00874485" w:rsidRPr="00E35810" w:rsidRDefault="00874485"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1C1874" w:rsidRPr="00E35810">
        <w:rPr>
          <w:rFonts w:asciiTheme="minorHAnsi" w:hAnsiTheme="minorHAnsi" w:cstheme="minorHAnsi"/>
        </w:rPr>
        <w:tab/>
      </w:r>
      <w:r w:rsidR="00F9230E" w:rsidRPr="00E35810">
        <w:rPr>
          <w:rFonts w:asciiTheme="minorHAnsi" w:hAnsiTheme="minorHAnsi" w:cstheme="minorHAnsi"/>
        </w:rPr>
        <w:t xml:space="preserve">Knight and Clark, above n </w:t>
      </w:r>
      <w:r w:rsidR="00F9230E" w:rsidRPr="00E35810">
        <w:rPr>
          <w:rFonts w:asciiTheme="minorHAnsi" w:hAnsiTheme="minorHAnsi" w:cstheme="minorHAnsi"/>
        </w:rPr>
        <w:fldChar w:fldCharType="begin"/>
      </w:r>
      <w:r w:rsidR="00F9230E" w:rsidRPr="00E35810">
        <w:rPr>
          <w:rFonts w:asciiTheme="minorHAnsi" w:hAnsiTheme="minorHAnsi" w:cstheme="minorHAnsi"/>
        </w:rPr>
        <w:instrText xml:space="preserve"> NOTEREF _Ref142418456 \h </w:instrText>
      </w:r>
      <w:r w:rsidR="00E35810">
        <w:rPr>
          <w:rFonts w:asciiTheme="minorHAnsi" w:hAnsiTheme="minorHAnsi" w:cstheme="minorHAnsi"/>
        </w:rPr>
        <w:instrText xml:space="preserve"> \* MERGEFORMAT </w:instrText>
      </w:r>
      <w:r w:rsidR="00F9230E" w:rsidRPr="00E35810">
        <w:rPr>
          <w:rFonts w:asciiTheme="minorHAnsi" w:hAnsiTheme="minorHAnsi" w:cstheme="minorHAnsi"/>
        </w:rPr>
      </w:r>
      <w:r w:rsidR="00F9230E" w:rsidRPr="00E35810">
        <w:rPr>
          <w:rFonts w:asciiTheme="minorHAnsi" w:hAnsiTheme="minorHAnsi" w:cstheme="minorHAnsi"/>
        </w:rPr>
        <w:fldChar w:fldCharType="separate"/>
      </w:r>
      <w:r w:rsidR="000E1DCF" w:rsidRPr="00E35810">
        <w:rPr>
          <w:rFonts w:asciiTheme="minorHAnsi" w:hAnsiTheme="minorHAnsi" w:cstheme="minorHAnsi"/>
        </w:rPr>
        <w:t>111</w:t>
      </w:r>
      <w:r w:rsidR="00F9230E" w:rsidRPr="00E35810">
        <w:rPr>
          <w:rFonts w:asciiTheme="minorHAnsi" w:hAnsiTheme="minorHAnsi" w:cstheme="minorHAnsi"/>
        </w:rPr>
        <w:fldChar w:fldCharType="end"/>
      </w:r>
      <w:r w:rsidR="00F9230E" w:rsidRPr="00E35810">
        <w:rPr>
          <w:rFonts w:asciiTheme="minorHAnsi" w:hAnsiTheme="minorHAnsi" w:cstheme="minorHAnsi"/>
        </w:rPr>
        <w:t>,</w:t>
      </w:r>
      <w:r w:rsidRPr="00E35810">
        <w:rPr>
          <w:rFonts w:asciiTheme="minorHAnsi" w:hAnsiTheme="minorHAnsi" w:cstheme="minorHAnsi"/>
        </w:rPr>
        <w:t xml:space="preserve"> at 63, citing</w:t>
      </w:r>
      <w:r w:rsidR="001112A6" w:rsidRPr="00E35810">
        <w:rPr>
          <w:rFonts w:asciiTheme="minorHAnsi" w:hAnsiTheme="minorHAnsi" w:cstheme="minorHAnsi"/>
        </w:rPr>
        <w:t xml:space="preserve"> </w:t>
      </w:r>
      <w:r w:rsidRPr="00E35810">
        <w:rPr>
          <w:rFonts w:asciiTheme="minorHAnsi" w:hAnsiTheme="minorHAnsi" w:cstheme="minorHAnsi"/>
        </w:rPr>
        <w:t>Regulations Review Committee “Complaint Regarding the Dairy Industry Restructuring (Raw Milk) Regulations 2001” [2007] AJHR I16K.</w:t>
      </w:r>
    </w:p>
  </w:footnote>
  <w:footnote w:id="104">
    <w:p w14:paraId="5E2A1F6F" w14:textId="715680D5" w:rsidR="00874485" w:rsidRPr="00E35810" w:rsidRDefault="00874485"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1C1874" w:rsidRPr="00E35810">
        <w:rPr>
          <w:rFonts w:asciiTheme="minorHAnsi" w:hAnsiTheme="minorHAnsi" w:cstheme="minorHAnsi"/>
        </w:rPr>
        <w:tab/>
      </w:r>
      <w:r w:rsidRPr="00E35810">
        <w:rPr>
          <w:rFonts w:asciiTheme="minorHAnsi" w:hAnsiTheme="minorHAnsi" w:cstheme="minorHAnsi"/>
        </w:rPr>
        <w:t xml:space="preserve">For example, the decision in </w:t>
      </w:r>
      <w:r w:rsidRPr="00E35810">
        <w:rPr>
          <w:rFonts w:asciiTheme="minorHAnsi" w:hAnsiTheme="minorHAnsi" w:cstheme="minorHAnsi"/>
          <w:i/>
          <w:iCs/>
        </w:rPr>
        <w:t>Glaxo</w:t>
      </w:r>
      <w:r w:rsidRPr="00E35810">
        <w:rPr>
          <w:rFonts w:asciiTheme="minorHAnsi" w:hAnsiTheme="minorHAnsi" w:cstheme="minorHAnsi"/>
        </w:rPr>
        <w:t xml:space="preserve"> involved claims in judicial review and the Commerce Act.</w:t>
      </w:r>
    </w:p>
  </w:footnote>
  <w:footnote w:id="105">
    <w:p w14:paraId="1104D33F" w14:textId="21F2072B" w:rsidR="00874485" w:rsidRPr="00E35810" w:rsidRDefault="00874485"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1C1874" w:rsidRPr="00E35810">
        <w:rPr>
          <w:rFonts w:asciiTheme="minorHAnsi" w:hAnsiTheme="minorHAnsi" w:cstheme="minorHAnsi"/>
        </w:rPr>
        <w:tab/>
      </w:r>
      <w:r w:rsidRPr="00E35810">
        <w:rPr>
          <w:rFonts w:asciiTheme="minorHAnsi" w:hAnsiTheme="minorHAnsi" w:cstheme="minorHAnsi"/>
          <w:i/>
          <w:iCs/>
        </w:rPr>
        <w:t xml:space="preserve">Lab Tests </w:t>
      </w:r>
      <w:r w:rsidR="00F9230E" w:rsidRPr="00E35810">
        <w:rPr>
          <w:rFonts w:asciiTheme="minorHAnsi" w:hAnsiTheme="minorHAnsi" w:cstheme="minorHAnsi"/>
          <w:i/>
          <w:iCs/>
        </w:rPr>
        <w:t xml:space="preserve">Auckland Ltd </w:t>
      </w:r>
      <w:r w:rsidRPr="00E35810">
        <w:rPr>
          <w:rFonts w:asciiTheme="minorHAnsi" w:hAnsiTheme="minorHAnsi" w:cstheme="minorHAnsi"/>
          <w:i/>
          <w:iCs/>
        </w:rPr>
        <w:t>v Auckland District Health Board</w:t>
      </w:r>
      <w:r w:rsidRPr="00E35810">
        <w:rPr>
          <w:rFonts w:asciiTheme="minorHAnsi" w:hAnsiTheme="minorHAnsi" w:cstheme="minorHAnsi"/>
        </w:rPr>
        <w:t xml:space="preserve"> [2008] NZCA 385</w:t>
      </w:r>
      <w:r w:rsidR="00F9230E" w:rsidRPr="00E35810">
        <w:rPr>
          <w:rFonts w:asciiTheme="minorHAnsi" w:hAnsiTheme="minorHAnsi" w:cstheme="minorHAnsi"/>
        </w:rPr>
        <w:t>, [2009] 1 NZLR 776</w:t>
      </w:r>
      <w:r w:rsidRPr="00E35810">
        <w:rPr>
          <w:rFonts w:asciiTheme="minorHAnsi" w:hAnsiTheme="minorHAnsi" w:cstheme="minorHAnsi"/>
        </w:rPr>
        <w:t xml:space="preserve"> at [91]</w:t>
      </w:r>
      <w:r w:rsidR="00F9230E" w:rsidRPr="00E35810">
        <w:rPr>
          <w:rFonts w:asciiTheme="minorHAnsi" w:hAnsiTheme="minorHAnsi" w:cstheme="minorHAnsi"/>
        </w:rPr>
        <w:t>;</w:t>
      </w:r>
      <w:r w:rsidRPr="00E35810">
        <w:rPr>
          <w:rFonts w:asciiTheme="minorHAnsi" w:hAnsiTheme="minorHAnsi" w:cstheme="minorHAnsi"/>
        </w:rPr>
        <w:t xml:space="preserve"> and see also </w:t>
      </w:r>
      <w:r w:rsidRPr="00E35810">
        <w:rPr>
          <w:rFonts w:asciiTheme="minorHAnsi" w:hAnsiTheme="minorHAnsi" w:cstheme="minorHAnsi"/>
          <w:i/>
          <w:iCs/>
        </w:rPr>
        <w:t>Mercury Energy Ltd v Electricity Corporation of New Zealand Ltd</w:t>
      </w:r>
      <w:r w:rsidRPr="00E35810">
        <w:rPr>
          <w:rFonts w:asciiTheme="minorHAnsi" w:hAnsiTheme="minorHAnsi" w:cstheme="minorHAnsi"/>
        </w:rPr>
        <w:t xml:space="preserve"> [1994] 2 NZLR 385 (PC)</w:t>
      </w:r>
      <w:r w:rsidR="00F9230E" w:rsidRPr="00E35810">
        <w:rPr>
          <w:rFonts w:asciiTheme="minorHAnsi" w:hAnsiTheme="minorHAnsi" w:cstheme="minorHAnsi"/>
        </w:rPr>
        <w:t>;</w:t>
      </w:r>
      <w:r w:rsidRPr="00E35810">
        <w:rPr>
          <w:rFonts w:asciiTheme="minorHAnsi" w:hAnsiTheme="minorHAnsi" w:cstheme="minorHAnsi"/>
        </w:rPr>
        <w:t xml:space="preserve"> </w:t>
      </w:r>
      <w:r w:rsidRPr="00E35810">
        <w:rPr>
          <w:rFonts w:asciiTheme="minorHAnsi" w:hAnsiTheme="minorHAnsi" w:cstheme="minorHAnsi"/>
          <w:i/>
          <w:iCs/>
        </w:rPr>
        <w:t>Pratt Contractors v Transit</w:t>
      </w:r>
      <w:r w:rsidRPr="00E35810">
        <w:rPr>
          <w:rFonts w:asciiTheme="minorHAnsi" w:hAnsiTheme="minorHAnsi" w:cstheme="minorHAnsi"/>
        </w:rPr>
        <w:t xml:space="preserve"> </w:t>
      </w:r>
      <w:r w:rsidR="00ED189B" w:rsidRPr="00E35810">
        <w:rPr>
          <w:rFonts w:asciiTheme="minorHAnsi" w:hAnsiTheme="minorHAnsi" w:cstheme="minorHAnsi"/>
          <w:i/>
          <w:iCs/>
        </w:rPr>
        <w:t xml:space="preserve">New Zealand </w:t>
      </w:r>
      <w:r w:rsidRPr="00E35810">
        <w:rPr>
          <w:rFonts w:asciiTheme="minorHAnsi" w:hAnsiTheme="minorHAnsi" w:cstheme="minorHAnsi"/>
        </w:rPr>
        <w:t>[2003] UKPC 83</w:t>
      </w:r>
      <w:r w:rsidR="00F9230E" w:rsidRPr="00E35810">
        <w:rPr>
          <w:rFonts w:asciiTheme="minorHAnsi" w:hAnsiTheme="minorHAnsi" w:cstheme="minorHAnsi"/>
        </w:rPr>
        <w:t>;</w:t>
      </w:r>
      <w:r w:rsidRPr="00E35810">
        <w:rPr>
          <w:rFonts w:asciiTheme="minorHAnsi" w:hAnsiTheme="minorHAnsi" w:cstheme="minorHAnsi"/>
        </w:rPr>
        <w:t xml:space="preserve"> and </w:t>
      </w:r>
      <w:r w:rsidRPr="00E35810">
        <w:rPr>
          <w:rFonts w:asciiTheme="minorHAnsi" w:hAnsiTheme="minorHAnsi" w:cstheme="minorHAnsi"/>
          <w:i/>
          <w:iCs/>
        </w:rPr>
        <w:t>A</w:t>
      </w:r>
      <w:r w:rsidR="0012403D" w:rsidRPr="00E35810">
        <w:rPr>
          <w:rFonts w:asciiTheme="minorHAnsi" w:hAnsiTheme="minorHAnsi" w:cstheme="minorHAnsi"/>
          <w:i/>
          <w:iCs/>
        </w:rPr>
        <w:t>ttorney</w:t>
      </w:r>
      <w:r w:rsidRPr="00E35810">
        <w:rPr>
          <w:rFonts w:asciiTheme="minorHAnsi" w:hAnsiTheme="minorHAnsi" w:cstheme="minorHAnsi"/>
          <w:i/>
          <w:iCs/>
        </w:rPr>
        <w:t>-G</w:t>
      </w:r>
      <w:r w:rsidR="0012403D" w:rsidRPr="00E35810">
        <w:rPr>
          <w:rFonts w:asciiTheme="minorHAnsi" w:hAnsiTheme="minorHAnsi" w:cstheme="minorHAnsi"/>
          <w:i/>
          <w:iCs/>
        </w:rPr>
        <w:t>eneral</w:t>
      </w:r>
      <w:r w:rsidRPr="00E35810">
        <w:rPr>
          <w:rFonts w:asciiTheme="minorHAnsi" w:hAnsiTheme="minorHAnsi" w:cstheme="minorHAnsi"/>
          <w:i/>
          <w:iCs/>
        </w:rPr>
        <w:t xml:space="preserve"> v Problem Gambling Foundation of New Zealand</w:t>
      </w:r>
      <w:r w:rsidRPr="00E35810">
        <w:rPr>
          <w:rFonts w:asciiTheme="minorHAnsi" w:hAnsiTheme="minorHAnsi" w:cstheme="minorHAnsi"/>
        </w:rPr>
        <w:t xml:space="preserve"> [2016] NZCA 609</w:t>
      </w:r>
      <w:r w:rsidR="00ED189B" w:rsidRPr="00E35810">
        <w:rPr>
          <w:rFonts w:asciiTheme="minorHAnsi" w:hAnsiTheme="minorHAnsi" w:cstheme="minorHAnsi"/>
        </w:rPr>
        <w:t>, [2017] 2 NZLR 470</w:t>
      </w:r>
      <w:r w:rsidRPr="00E35810">
        <w:rPr>
          <w:rFonts w:asciiTheme="minorHAnsi" w:hAnsiTheme="minorHAnsi" w:cstheme="minorHAnsi"/>
        </w:rPr>
        <w:t>.</w:t>
      </w:r>
    </w:p>
  </w:footnote>
  <w:footnote w:id="106">
    <w:p w14:paraId="0128DD46" w14:textId="4A294935" w:rsidR="00874485" w:rsidRPr="00E35810" w:rsidRDefault="00874485"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1C1874" w:rsidRPr="00E35810">
        <w:rPr>
          <w:rFonts w:asciiTheme="minorHAnsi" w:hAnsiTheme="minorHAnsi" w:cstheme="minorHAnsi"/>
        </w:rPr>
        <w:tab/>
      </w:r>
      <w:r w:rsidRPr="00E35810">
        <w:rPr>
          <w:rFonts w:asciiTheme="minorHAnsi" w:hAnsiTheme="minorHAnsi" w:cstheme="minorHAnsi"/>
        </w:rPr>
        <w:t xml:space="preserve">See for example, Commerce Commission </w:t>
      </w:r>
      <w:r w:rsidRPr="00E35810">
        <w:rPr>
          <w:rFonts w:asciiTheme="minorHAnsi" w:hAnsiTheme="minorHAnsi" w:cstheme="minorHAnsi"/>
          <w:i/>
          <w:iCs/>
        </w:rPr>
        <w:t xml:space="preserve">Market </w:t>
      </w:r>
      <w:r w:rsidR="00ED189B" w:rsidRPr="00E35810">
        <w:rPr>
          <w:rFonts w:asciiTheme="minorHAnsi" w:hAnsiTheme="minorHAnsi" w:cstheme="minorHAnsi"/>
          <w:i/>
          <w:iCs/>
        </w:rPr>
        <w:t>s</w:t>
      </w:r>
      <w:r w:rsidRPr="00E35810">
        <w:rPr>
          <w:rFonts w:asciiTheme="minorHAnsi" w:hAnsiTheme="minorHAnsi" w:cstheme="minorHAnsi"/>
          <w:i/>
          <w:iCs/>
        </w:rPr>
        <w:t xml:space="preserve">tudy into the </w:t>
      </w:r>
      <w:r w:rsidR="00ED189B" w:rsidRPr="00E35810">
        <w:rPr>
          <w:rFonts w:asciiTheme="minorHAnsi" w:hAnsiTheme="minorHAnsi" w:cstheme="minorHAnsi"/>
          <w:i/>
          <w:iCs/>
        </w:rPr>
        <w:t>r</w:t>
      </w:r>
      <w:r w:rsidRPr="00E35810">
        <w:rPr>
          <w:rFonts w:asciiTheme="minorHAnsi" w:hAnsiTheme="minorHAnsi" w:cstheme="minorHAnsi"/>
          <w:i/>
          <w:iCs/>
        </w:rPr>
        <w:t xml:space="preserve">etail </w:t>
      </w:r>
      <w:r w:rsidR="00ED189B" w:rsidRPr="00E35810">
        <w:rPr>
          <w:rFonts w:asciiTheme="minorHAnsi" w:hAnsiTheme="minorHAnsi" w:cstheme="minorHAnsi"/>
          <w:i/>
          <w:iCs/>
        </w:rPr>
        <w:t>g</w:t>
      </w:r>
      <w:r w:rsidRPr="00E35810">
        <w:rPr>
          <w:rFonts w:asciiTheme="minorHAnsi" w:hAnsiTheme="minorHAnsi" w:cstheme="minorHAnsi"/>
          <w:i/>
          <w:iCs/>
        </w:rPr>
        <w:t xml:space="preserve">rocery </w:t>
      </w:r>
      <w:r w:rsidR="00ED189B" w:rsidRPr="00E35810">
        <w:rPr>
          <w:rFonts w:asciiTheme="minorHAnsi" w:hAnsiTheme="minorHAnsi" w:cstheme="minorHAnsi"/>
          <w:i/>
          <w:iCs/>
        </w:rPr>
        <w:t>s</w:t>
      </w:r>
      <w:r w:rsidRPr="00E35810">
        <w:rPr>
          <w:rFonts w:asciiTheme="minorHAnsi" w:hAnsiTheme="minorHAnsi" w:cstheme="minorHAnsi"/>
          <w:i/>
          <w:iCs/>
        </w:rPr>
        <w:t>ector</w:t>
      </w:r>
      <w:r w:rsidR="00ED189B" w:rsidRPr="00E35810">
        <w:rPr>
          <w:rFonts w:asciiTheme="minorHAnsi" w:hAnsiTheme="minorHAnsi" w:cstheme="minorHAnsi"/>
          <w:i/>
          <w:iCs/>
        </w:rPr>
        <w:t>: Final report</w:t>
      </w:r>
      <w:r w:rsidRPr="00E35810">
        <w:rPr>
          <w:rFonts w:asciiTheme="minorHAnsi" w:hAnsiTheme="minorHAnsi" w:cstheme="minorHAnsi"/>
        </w:rPr>
        <w:t xml:space="preserve"> </w:t>
      </w:r>
      <w:r w:rsidR="00ED189B" w:rsidRPr="00E35810">
        <w:rPr>
          <w:rFonts w:asciiTheme="minorHAnsi" w:hAnsiTheme="minorHAnsi" w:cstheme="minorHAnsi"/>
        </w:rPr>
        <w:t>(</w:t>
      </w:r>
      <w:r w:rsidRPr="00E35810">
        <w:rPr>
          <w:rFonts w:asciiTheme="minorHAnsi" w:hAnsiTheme="minorHAnsi" w:cstheme="minorHAnsi"/>
        </w:rPr>
        <w:t>8 March 2022</w:t>
      </w:r>
      <w:r w:rsidR="00ED189B" w:rsidRPr="00E35810">
        <w:rPr>
          <w:rFonts w:asciiTheme="minorHAnsi" w:hAnsiTheme="minorHAnsi" w:cstheme="minorHAnsi"/>
        </w:rPr>
        <w:t>)</w:t>
      </w:r>
      <w:r w:rsidRPr="00E35810">
        <w:rPr>
          <w:rFonts w:asciiTheme="minorHAnsi" w:hAnsiTheme="minorHAnsi" w:cstheme="minorHAnsi"/>
        </w:rPr>
        <w:t xml:space="preserve"> at </w:t>
      </w:r>
      <w:r w:rsidR="00E87F7D" w:rsidRPr="00E35810">
        <w:rPr>
          <w:rFonts w:asciiTheme="minorHAnsi" w:hAnsiTheme="minorHAnsi" w:cstheme="minorHAnsi"/>
        </w:rPr>
        <w:t>[</w:t>
      </w:r>
      <w:r w:rsidRPr="00E35810">
        <w:rPr>
          <w:rFonts w:asciiTheme="minorHAnsi" w:hAnsiTheme="minorHAnsi" w:cstheme="minorHAnsi"/>
        </w:rPr>
        <w:t>9.24</w:t>
      </w:r>
      <w:r w:rsidR="00E87F7D" w:rsidRPr="00E35810">
        <w:rPr>
          <w:rFonts w:asciiTheme="minorHAnsi" w:hAnsiTheme="minorHAnsi" w:cstheme="minorHAnsi"/>
        </w:rPr>
        <w:t>]–[</w:t>
      </w:r>
      <w:r w:rsidRPr="00E35810">
        <w:rPr>
          <w:rFonts w:asciiTheme="minorHAnsi" w:hAnsiTheme="minorHAnsi" w:cstheme="minorHAnsi"/>
        </w:rPr>
        <w:t>9.56</w:t>
      </w:r>
      <w:r w:rsidR="00E87F7D" w:rsidRPr="00E35810">
        <w:rPr>
          <w:rFonts w:asciiTheme="minorHAnsi" w:hAnsiTheme="minorHAnsi" w:cstheme="minorHAnsi"/>
        </w:rPr>
        <w:t>]</w:t>
      </w:r>
      <w:r w:rsidRPr="00E35810">
        <w:rPr>
          <w:rFonts w:asciiTheme="minorHAnsi" w:hAnsiTheme="minorHAnsi" w:cstheme="minorHAnsi"/>
        </w:rPr>
        <w:t>.</w:t>
      </w:r>
    </w:p>
  </w:footnote>
  <w:footnote w:id="107">
    <w:p w14:paraId="7A6965D7" w14:textId="77777777" w:rsidR="00FF3B7B" w:rsidRPr="00E35810" w:rsidRDefault="00FF3B7B" w:rsidP="00FF3B7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Pr="00E35810">
        <w:rPr>
          <w:rFonts w:asciiTheme="minorHAnsi" w:hAnsiTheme="minorHAnsi" w:cstheme="minorHAnsi"/>
        </w:rPr>
        <w:tab/>
        <w:t xml:space="preserve">OECD </w:t>
      </w:r>
      <w:r w:rsidRPr="00E35810">
        <w:rPr>
          <w:rFonts w:asciiTheme="minorHAnsi" w:hAnsiTheme="minorHAnsi" w:cstheme="minorHAnsi"/>
          <w:i/>
          <w:iCs/>
        </w:rPr>
        <w:t>Recommendation of the Council on Competitive Neutrality</w:t>
      </w:r>
      <w:r w:rsidRPr="00E35810">
        <w:rPr>
          <w:rFonts w:asciiTheme="minorHAnsi" w:hAnsiTheme="minorHAnsi" w:cstheme="minorHAnsi"/>
        </w:rPr>
        <w:t xml:space="preserve"> (OECD/LEGAL/0462, 2022).</w:t>
      </w:r>
    </w:p>
  </w:footnote>
  <w:footnote w:id="108">
    <w:p w14:paraId="3874ECE8" w14:textId="77777777" w:rsidR="00FF3B7B" w:rsidRPr="00E35810" w:rsidRDefault="00FF3B7B" w:rsidP="00FF3B7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Pr="00E35810">
        <w:rPr>
          <w:rFonts w:asciiTheme="minorHAnsi" w:hAnsiTheme="minorHAnsi" w:cstheme="minorHAnsi"/>
        </w:rPr>
        <w:tab/>
        <w:t xml:space="preserve">Ian Harper and others </w:t>
      </w:r>
      <w:r w:rsidRPr="00E35810">
        <w:rPr>
          <w:rFonts w:asciiTheme="minorHAnsi" w:hAnsiTheme="minorHAnsi" w:cstheme="minorHAnsi"/>
          <w:i/>
          <w:iCs/>
        </w:rPr>
        <w:t>Competition Policy Review: Final Report</w:t>
      </w:r>
      <w:r w:rsidRPr="00E35810">
        <w:rPr>
          <w:rFonts w:asciiTheme="minorHAnsi" w:hAnsiTheme="minorHAnsi" w:cstheme="minorHAnsi"/>
        </w:rPr>
        <w:t xml:space="preserve"> (The Treasury, 31 March 2015) at 96.</w:t>
      </w:r>
    </w:p>
  </w:footnote>
  <w:footnote w:id="109">
    <w:p w14:paraId="78B1473C" w14:textId="77777777" w:rsidR="00FF3B7B" w:rsidRPr="00E35810" w:rsidRDefault="00FF3B7B" w:rsidP="00FF3B7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Pr="00E35810">
        <w:rPr>
          <w:rFonts w:asciiTheme="minorHAnsi" w:hAnsiTheme="minorHAnsi" w:cstheme="minorHAnsi"/>
        </w:rPr>
        <w:tab/>
        <w:t>At 97.</w:t>
      </w:r>
    </w:p>
  </w:footnote>
  <w:footnote w:id="110">
    <w:p w14:paraId="4406C986" w14:textId="77777777" w:rsidR="00FF3B7B" w:rsidRPr="00E35810" w:rsidRDefault="00FF3B7B" w:rsidP="00FF3B7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Pr="00E35810">
        <w:rPr>
          <w:rFonts w:asciiTheme="minorHAnsi" w:hAnsiTheme="minorHAnsi" w:cstheme="minorHAnsi"/>
        </w:rPr>
        <w:tab/>
        <w:t xml:space="preserve">Eric Crampton “Dr Eric Crampton: Taking a closer look at Commerce Commission’s market studies” </w:t>
      </w:r>
      <w:r w:rsidRPr="00E35810">
        <w:rPr>
          <w:rFonts w:asciiTheme="minorHAnsi" w:hAnsiTheme="minorHAnsi" w:cstheme="minorHAnsi"/>
          <w:i/>
          <w:iCs/>
        </w:rPr>
        <w:t xml:space="preserve">The New Zealand Herald </w:t>
      </w:r>
      <w:r w:rsidRPr="00E35810">
        <w:rPr>
          <w:rFonts w:asciiTheme="minorHAnsi" w:hAnsiTheme="minorHAnsi" w:cstheme="minorHAnsi"/>
        </w:rPr>
        <w:t>(online ed, 11 August 2022).</w:t>
      </w:r>
    </w:p>
  </w:footnote>
  <w:footnote w:id="111">
    <w:p w14:paraId="536DF5EA" w14:textId="77777777" w:rsidR="00FF3B7B" w:rsidRPr="00E35810" w:rsidRDefault="00FF3B7B" w:rsidP="00FF3B7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Pr="00E35810">
        <w:rPr>
          <w:rFonts w:asciiTheme="minorHAnsi" w:hAnsiTheme="minorHAnsi" w:cstheme="minorHAnsi"/>
        </w:rPr>
        <w:tab/>
        <w:t>Eric Crampton “The crippling cost of bureaucracy” (25 October 2019) newsroom &lt;www.newsroom.co.nz&gt;.</w:t>
      </w:r>
    </w:p>
  </w:footnote>
  <w:footnote w:id="112">
    <w:p w14:paraId="3C8002DA" w14:textId="77777777" w:rsidR="00FF3B7B" w:rsidRPr="00E35810" w:rsidRDefault="00FF3B7B" w:rsidP="00FF3B7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Pr="00E35810">
        <w:rPr>
          <w:rFonts w:asciiTheme="minorHAnsi" w:hAnsiTheme="minorHAnsi" w:cstheme="minorHAnsi"/>
        </w:rPr>
        <w:tab/>
        <w:t>See, for example, George J Stigler “The theory of economic regulation” (1971) 2 The Bell Journal of Economics and Management Science 3.</w:t>
      </w:r>
    </w:p>
  </w:footnote>
  <w:footnote w:id="113">
    <w:p w14:paraId="15FA2DCE" w14:textId="77777777" w:rsidR="00FF3B7B" w:rsidRPr="00E35810" w:rsidRDefault="00FF3B7B" w:rsidP="00FF3B7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Pr="00E35810">
        <w:rPr>
          <w:rFonts w:asciiTheme="minorHAnsi" w:hAnsiTheme="minorHAnsi" w:cstheme="minorHAnsi"/>
        </w:rPr>
        <w:tab/>
        <w:t>Bruce Yandle “Bootleggers and Baptists — The Education of a Regulatory Economist” (1983) 7 AEI Journal on Government and Society 12.</w:t>
      </w:r>
    </w:p>
  </w:footnote>
  <w:footnote w:id="114">
    <w:p w14:paraId="39BBEBB0" w14:textId="77777777" w:rsidR="00FF3B7B" w:rsidRPr="00E35810" w:rsidRDefault="00FF3B7B" w:rsidP="00FF3B7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Pr="00E35810">
        <w:rPr>
          <w:rFonts w:asciiTheme="minorHAnsi" w:hAnsiTheme="minorHAnsi" w:cstheme="minorHAnsi"/>
        </w:rPr>
        <w:tab/>
        <w:t xml:space="preserve">OECD </w:t>
      </w:r>
      <w:r w:rsidRPr="00E35810">
        <w:rPr>
          <w:rFonts w:asciiTheme="minorHAnsi" w:hAnsiTheme="minorHAnsi" w:cstheme="minorHAnsi"/>
          <w:i/>
          <w:iCs/>
        </w:rPr>
        <w:t>Recommendation of the Council on Competition Assessment</w:t>
      </w:r>
      <w:r w:rsidRPr="00E35810">
        <w:rPr>
          <w:rFonts w:asciiTheme="minorHAnsi" w:hAnsiTheme="minorHAnsi" w:cstheme="minorHAnsi"/>
        </w:rPr>
        <w:t xml:space="preserve"> (OECD/LEGAL/0376, 2022).</w:t>
      </w:r>
    </w:p>
  </w:footnote>
  <w:footnote w:id="115">
    <w:p w14:paraId="794D8D16" w14:textId="77777777" w:rsidR="00FF3B7B" w:rsidRPr="00E35810" w:rsidRDefault="00FF3B7B" w:rsidP="00FF3B7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Pr="00E35810">
        <w:rPr>
          <w:rFonts w:asciiTheme="minorHAnsi" w:hAnsiTheme="minorHAnsi" w:cstheme="minorHAnsi"/>
        </w:rPr>
        <w:tab/>
        <w:t xml:space="preserve">OECD </w:t>
      </w:r>
      <w:r w:rsidRPr="00E35810">
        <w:rPr>
          <w:rFonts w:asciiTheme="minorHAnsi" w:hAnsiTheme="minorHAnsi" w:cstheme="minorHAnsi"/>
          <w:i/>
          <w:iCs/>
        </w:rPr>
        <w:t>Experiences with Competition Assessment: Report on the Implementation of the 2009 OECD Recommendation</w:t>
      </w:r>
      <w:r w:rsidRPr="00E35810">
        <w:rPr>
          <w:rFonts w:asciiTheme="minorHAnsi" w:hAnsiTheme="minorHAnsi" w:cstheme="minorHAnsi"/>
        </w:rPr>
        <w:t xml:space="preserve"> (2014).</w:t>
      </w:r>
    </w:p>
  </w:footnote>
  <w:footnote w:id="116">
    <w:p w14:paraId="2F2A7024" w14:textId="77777777" w:rsidR="00FF3B7B" w:rsidRPr="00E35810" w:rsidRDefault="00FF3B7B" w:rsidP="00FF3B7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Pr="00E35810">
        <w:rPr>
          <w:rFonts w:asciiTheme="minorHAnsi" w:hAnsiTheme="minorHAnsi" w:cstheme="minorHAnsi"/>
        </w:rPr>
        <w:tab/>
        <w:t>Lithuania, Mexico, Italy, Chile, and Spain were given as examples, at 41.</w:t>
      </w:r>
    </w:p>
  </w:footnote>
  <w:footnote w:id="117">
    <w:p w14:paraId="0A1CE554" w14:textId="77777777" w:rsidR="00FF3B7B" w:rsidRPr="00E35810" w:rsidRDefault="00FF3B7B" w:rsidP="00FF3B7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Pr="00E35810">
        <w:rPr>
          <w:rFonts w:asciiTheme="minorHAnsi" w:hAnsiTheme="minorHAnsi" w:cstheme="minorHAnsi"/>
        </w:rPr>
        <w:tab/>
        <w:t>At 42.</w:t>
      </w:r>
    </w:p>
  </w:footnote>
  <w:footnote w:id="118">
    <w:p w14:paraId="11968F9A" w14:textId="77777777" w:rsidR="00FF3B7B" w:rsidRPr="00E35810" w:rsidRDefault="00FF3B7B" w:rsidP="00FF3B7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Pr="00E35810">
        <w:rPr>
          <w:rFonts w:asciiTheme="minorHAnsi" w:hAnsiTheme="minorHAnsi" w:cstheme="minorHAnsi"/>
        </w:rPr>
        <w:tab/>
        <w:t xml:space="preserve">OECD </w:t>
      </w:r>
      <w:r w:rsidRPr="00E35810">
        <w:rPr>
          <w:rFonts w:asciiTheme="minorHAnsi" w:hAnsiTheme="minorHAnsi" w:cstheme="minorHAnsi"/>
          <w:i/>
          <w:iCs/>
        </w:rPr>
        <w:t>Recommendation of the Council on Competition Assessment</w:t>
      </w:r>
      <w:r w:rsidRPr="00E35810">
        <w:rPr>
          <w:rFonts w:asciiTheme="minorHAnsi" w:hAnsiTheme="minorHAnsi" w:cstheme="minorHAnsi"/>
        </w:rPr>
        <w:t xml:space="preserve">, above n </w:t>
      </w:r>
      <w:r w:rsidRPr="00E35810">
        <w:rPr>
          <w:rFonts w:asciiTheme="minorHAnsi" w:hAnsiTheme="minorHAnsi" w:cstheme="minorHAnsi"/>
        </w:rPr>
        <w:fldChar w:fldCharType="begin"/>
      </w:r>
      <w:r w:rsidRPr="00E35810">
        <w:rPr>
          <w:rFonts w:asciiTheme="minorHAnsi" w:hAnsiTheme="minorHAnsi" w:cstheme="minorHAnsi"/>
        </w:rPr>
        <w:instrText xml:space="preserve"> NOTEREF _Ref140931313 \h  \* MERGEFORMAT </w:instrText>
      </w:r>
      <w:r w:rsidRPr="00E35810">
        <w:rPr>
          <w:rFonts w:asciiTheme="minorHAnsi" w:hAnsiTheme="minorHAnsi" w:cstheme="minorHAnsi"/>
        </w:rPr>
      </w:r>
      <w:r w:rsidRPr="00E35810">
        <w:rPr>
          <w:rFonts w:asciiTheme="minorHAnsi" w:hAnsiTheme="minorHAnsi" w:cstheme="minorHAnsi"/>
        </w:rPr>
        <w:fldChar w:fldCharType="separate"/>
      </w:r>
      <w:r w:rsidRPr="00E35810">
        <w:rPr>
          <w:rFonts w:asciiTheme="minorHAnsi" w:hAnsiTheme="minorHAnsi" w:cstheme="minorHAnsi"/>
        </w:rPr>
        <w:t>4</w:t>
      </w:r>
      <w:r w:rsidRPr="00E35810">
        <w:rPr>
          <w:rFonts w:asciiTheme="minorHAnsi" w:hAnsiTheme="minorHAnsi" w:cstheme="minorHAnsi"/>
        </w:rPr>
        <w:fldChar w:fldCharType="end"/>
      </w:r>
      <w:r w:rsidRPr="00E35810">
        <w:rPr>
          <w:rFonts w:asciiTheme="minorHAnsi" w:hAnsiTheme="minorHAnsi" w:cstheme="minorHAnsi"/>
        </w:rPr>
        <w:t>.</w:t>
      </w:r>
    </w:p>
  </w:footnote>
  <w:footnote w:id="119">
    <w:p w14:paraId="580FB061" w14:textId="77777777" w:rsidR="00FF3B7B" w:rsidRPr="00E35810" w:rsidRDefault="00FF3B7B" w:rsidP="00FF3B7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Pr="00E35810">
        <w:rPr>
          <w:rFonts w:asciiTheme="minorHAnsi" w:hAnsiTheme="minorHAnsi" w:cstheme="minorHAnsi"/>
        </w:rPr>
        <w:tab/>
        <w:t xml:space="preserve">At II(A)(3). This in part reflected the OECD’s 1979 </w:t>
      </w:r>
      <w:r w:rsidRPr="00E35810">
        <w:rPr>
          <w:rFonts w:asciiTheme="minorHAnsi" w:hAnsiTheme="minorHAnsi" w:cstheme="minorHAnsi"/>
          <w:i/>
          <w:iCs/>
        </w:rPr>
        <w:t>Recommendation on Competition Policy and Exempted or Regulated Sectors</w:t>
      </w:r>
      <w:r w:rsidRPr="00E35810">
        <w:rPr>
          <w:rFonts w:asciiTheme="minorHAnsi" w:hAnsiTheme="minorHAnsi" w:cstheme="minorHAnsi"/>
        </w:rPr>
        <w:t xml:space="preserve">, above n </w:t>
      </w:r>
      <w:r w:rsidRPr="00E35810">
        <w:rPr>
          <w:rFonts w:asciiTheme="minorHAnsi" w:hAnsiTheme="minorHAnsi" w:cstheme="minorHAnsi"/>
        </w:rPr>
        <w:fldChar w:fldCharType="begin"/>
      </w:r>
      <w:r w:rsidRPr="00E35810">
        <w:rPr>
          <w:rFonts w:asciiTheme="minorHAnsi" w:hAnsiTheme="minorHAnsi" w:cstheme="minorHAnsi"/>
        </w:rPr>
        <w:instrText xml:space="preserve"> NOTEREF _Ref141005088 \h  \* MERGEFORMAT </w:instrText>
      </w:r>
      <w:r w:rsidRPr="00E35810">
        <w:rPr>
          <w:rFonts w:asciiTheme="minorHAnsi" w:hAnsiTheme="minorHAnsi" w:cstheme="minorHAnsi"/>
        </w:rPr>
      </w:r>
      <w:r w:rsidRPr="00E35810">
        <w:rPr>
          <w:rFonts w:asciiTheme="minorHAnsi" w:hAnsiTheme="minorHAnsi" w:cstheme="minorHAnsi"/>
        </w:rPr>
        <w:fldChar w:fldCharType="separate"/>
      </w:r>
      <w:r w:rsidRPr="00E35810">
        <w:rPr>
          <w:rFonts w:asciiTheme="minorHAnsi" w:hAnsiTheme="minorHAnsi" w:cstheme="minorHAnsi"/>
        </w:rPr>
        <w:t>6</w:t>
      </w:r>
      <w:r w:rsidRPr="00E35810">
        <w:rPr>
          <w:rFonts w:asciiTheme="minorHAnsi" w:hAnsiTheme="minorHAnsi" w:cstheme="minorHAnsi"/>
        </w:rPr>
        <w:fldChar w:fldCharType="end"/>
      </w:r>
      <w:r w:rsidRPr="00E35810">
        <w:rPr>
          <w:rFonts w:asciiTheme="minorHAnsi" w:hAnsiTheme="minorHAnsi" w:cstheme="minorHAnsi"/>
        </w:rPr>
        <w:t>.</w:t>
      </w:r>
    </w:p>
  </w:footnote>
  <w:footnote w:id="120">
    <w:p w14:paraId="6D619284" w14:textId="441B4E58" w:rsidR="00E03C30" w:rsidRPr="00E35810" w:rsidRDefault="00E03C30"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1C1874" w:rsidRPr="00E35810">
        <w:rPr>
          <w:rFonts w:asciiTheme="minorHAnsi" w:hAnsiTheme="minorHAnsi" w:cstheme="minorHAnsi"/>
        </w:rPr>
        <w:tab/>
      </w:r>
      <w:r w:rsidRPr="00E35810">
        <w:rPr>
          <w:rFonts w:asciiTheme="minorHAnsi" w:hAnsiTheme="minorHAnsi" w:cstheme="minorHAnsi"/>
        </w:rPr>
        <w:t xml:space="preserve">Amendments to s 43(1) would be required to </w:t>
      </w:r>
      <w:r w:rsidR="00BC4E2F" w:rsidRPr="00E35810">
        <w:rPr>
          <w:rFonts w:asciiTheme="minorHAnsi" w:hAnsiTheme="minorHAnsi" w:cstheme="minorHAnsi"/>
        </w:rPr>
        <w:t>place restrictions on regulations that limited competition without appropriate parliamentary authorisation.</w:t>
      </w:r>
    </w:p>
  </w:footnote>
  <w:footnote w:id="121">
    <w:p w14:paraId="0DF9550F" w14:textId="40F9D9C2" w:rsidR="00F83CCA" w:rsidRPr="00E35810" w:rsidRDefault="00F83CCA"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1C1874" w:rsidRPr="00E35810">
        <w:rPr>
          <w:rFonts w:asciiTheme="minorHAnsi" w:hAnsiTheme="minorHAnsi" w:cstheme="minorHAnsi"/>
        </w:rPr>
        <w:tab/>
      </w:r>
      <w:r w:rsidRPr="00E35810">
        <w:rPr>
          <w:rFonts w:asciiTheme="minorHAnsi" w:hAnsiTheme="minorHAnsi" w:cstheme="minorHAnsi"/>
          <w:i/>
          <w:iCs/>
        </w:rPr>
        <w:t>Anytime NZ Ltd</w:t>
      </w:r>
      <w:r w:rsidRPr="00E35810">
        <w:rPr>
          <w:rFonts w:asciiTheme="minorHAnsi" w:hAnsiTheme="minorHAnsi" w:cstheme="minorHAnsi"/>
        </w:rPr>
        <w:t xml:space="preserve"> [2022] NZCC 22.</w:t>
      </w:r>
    </w:p>
  </w:footnote>
  <w:footnote w:id="122">
    <w:p w14:paraId="0A84F355" w14:textId="0B7A5C07" w:rsidR="00EB7553" w:rsidRPr="00E35810" w:rsidRDefault="00EB7553"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1C1874" w:rsidRPr="00E35810">
        <w:rPr>
          <w:rFonts w:asciiTheme="minorHAnsi" w:hAnsiTheme="minorHAnsi" w:cstheme="minorHAnsi"/>
        </w:rPr>
        <w:tab/>
      </w:r>
      <w:r w:rsidR="005519BD" w:rsidRPr="00E35810">
        <w:rPr>
          <w:rFonts w:asciiTheme="minorHAnsi" w:hAnsiTheme="minorHAnsi" w:cstheme="minorHAnsi"/>
        </w:rPr>
        <w:t xml:space="preserve">Commerce Commission </w:t>
      </w:r>
      <w:r w:rsidR="005519BD" w:rsidRPr="00E35810">
        <w:rPr>
          <w:rFonts w:asciiTheme="minorHAnsi" w:hAnsiTheme="minorHAnsi" w:cstheme="minorHAnsi"/>
          <w:i/>
          <w:iCs/>
        </w:rPr>
        <w:t>Competitor Collaboration Guidelines</w:t>
      </w:r>
      <w:r w:rsidR="005519BD" w:rsidRPr="00E35810">
        <w:rPr>
          <w:rFonts w:asciiTheme="minorHAnsi" w:hAnsiTheme="minorHAnsi" w:cstheme="minorHAnsi"/>
        </w:rPr>
        <w:t xml:space="preserve"> </w:t>
      </w:r>
      <w:r w:rsidR="005E4C08" w:rsidRPr="00E35810">
        <w:rPr>
          <w:rFonts w:asciiTheme="minorHAnsi" w:hAnsiTheme="minorHAnsi" w:cstheme="minorHAnsi"/>
        </w:rPr>
        <w:t>(January 2018)</w:t>
      </w:r>
      <w:r w:rsidR="00A31E89" w:rsidRPr="00E35810">
        <w:rPr>
          <w:rFonts w:asciiTheme="minorHAnsi" w:hAnsiTheme="minorHAnsi" w:cstheme="minorHAnsi"/>
        </w:rPr>
        <w:t xml:space="preserve"> at [120]–[127].</w:t>
      </w:r>
    </w:p>
  </w:footnote>
  <w:footnote w:id="123">
    <w:p w14:paraId="2020E389" w14:textId="5C8FEEFD" w:rsidR="00A31E89" w:rsidRPr="00E35810" w:rsidRDefault="00A31E89"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1C1874" w:rsidRPr="00E35810">
        <w:rPr>
          <w:rFonts w:asciiTheme="minorHAnsi" w:hAnsiTheme="minorHAnsi" w:cstheme="minorHAnsi"/>
        </w:rPr>
        <w:tab/>
      </w:r>
      <w:r w:rsidRPr="00E35810">
        <w:rPr>
          <w:rFonts w:asciiTheme="minorHAnsi" w:hAnsiTheme="minorHAnsi" w:cstheme="minorHAnsi"/>
          <w:i/>
          <w:iCs/>
        </w:rPr>
        <w:t>Queenstown Airport Corporation Ltd v Queenstown Lakes District Council</w:t>
      </w:r>
      <w:r w:rsidRPr="00E35810">
        <w:rPr>
          <w:rFonts w:asciiTheme="minorHAnsi" w:hAnsiTheme="minorHAnsi" w:cstheme="minorHAnsi"/>
        </w:rPr>
        <w:t xml:space="preserve"> [2013] NZHC 2347 at [93].</w:t>
      </w:r>
    </w:p>
  </w:footnote>
  <w:footnote w:id="124">
    <w:p w14:paraId="6E509010" w14:textId="767F0E01" w:rsidR="007E7713" w:rsidRPr="00E35810" w:rsidRDefault="007E7713"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1C1874" w:rsidRPr="00E35810">
        <w:rPr>
          <w:rFonts w:asciiTheme="minorHAnsi" w:hAnsiTheme="minorHAnsi" w:cstheme="minorHAnsi"/>
        </w:rPr>
        <w:tab/>
      </w:r>
      <w:r w:rsidR="00E87F7D" w:rsidRPr="00E35810">
        <w:rPr>
          <w:rFonts w:asciiTheme="minorHAnsi" w:hAnsiTheme="minorHAnsi" w:cstheme="minorHAnsi"/>
        </w:rPr>
        <w:t>Andrew S Butler “</w:t>
      </w:r>
      <w:r w:rsidRPr="00E35810">
        <w:rPr>
          <w:rFonts w:asciiTheme="minorHAnsi" w:hAnsiTheme="minorHAnsi" w:cstheme="minorHAnsi"/>
        </w:rPr>
        <w:t>Limiting Rights</w:t>
      </w:r>
      <w:r w:rsidR="00E87F7D" w:rsidRPr="00E35810">
        <w:rPr>
          <w:rFonts w:asciiTheme="minorHAnsi" w:hAnsiTheme="minorHAnsi" w:cstheme="minorHAnsi"/>
        </w:rPr>
        <w:t>”</w:t>
      </w:r>
      <w:r w:rsidRPr="00E35810">
        <w:rPr>
          <w:rFonts w:asciiTheme="minorHAnsi" w:hAnsiTheme="minorHAnsi" w:cstheme="minorHAnsi"/>
        </w:rPr>
        <w:t xml:space="preserve"> (2002) 33 VUWLR </w:t>
      </w:r>
      <w:r w:rsidR="005E4C08" w:rsidRPr="00E35810">
        <w:rPr>
          <w:rFonts w:asciiTheme="minorHAnsi" w:hAnsiTheme="minorHAnsi" w:cstheme="minorHAnsi"/>
        </w:rPr>
        <w:t>113</w:t>
      </w:r>
      <w:r w:rsidRPr="00E35810">
        <w:rPr>
          <w:rFonts w:asciiTheme="minorHAnsi" w:hAnsiTheme="minorHAnsi" w:cstheme="minorHAnsi"/>
        </w:rPr>
        <w:t xml:space="preserve"> at </w:t>
      </w:r>
      <w:r w:rsidR="005E4C08" w:rsidRPr="00E35810">
        <w:rPr>
          <w:rFonts w:asciiTheme="minorHAnsi" w:hAnsiTheme="minorHAnsi" w:cstheme="minorHAnsi"/>
        </w:rPr>
        <w:t>130</w:t>
      </w:r>
      <w:r w:rsidRPr="00E35810">
        <w:rPr>
          <w:rFonts w:asciiTheme="minorHAnsi" w:hAnsiTheme="minorHAnsi" w:cstheme="minorHAnsi"/>
        </w:rPr>
        <w:t>.</w:t>
      </w:r>
    </w:p>
  </w:footnote>
  <w:footnote w:id="125">
    <w:p w14:paraId="0B77BC36" w14:textId="4C406363" w:rsidR="00426A83" w:rsidRPr="00E35810" w:rsidRDefault="00426A83"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Style w:val="FootnoteReference"/>
          <w:rFonts w:asciiTheme="minorHAnsi" w:hAnsiTheme="minorHAnsi" w:cstheme="minorHAnsi"/>
          <w:vertAlign w:val="baseline"/>
        </w:rPr>
        <w:t xml:space="preserve"> </w:t>
      </w:r>
      <w:r w:rsidR="005E4C08" w:rsidRPr="00E35810">
        <w:rPr>
          <w:rFonts w:asciiTheme="minorHAnsi" w:hAnsiTheme="minorHAnsi" w:cstheme="minorHAnsi"/>
        </w:rPr>
        <w:tab/>
      </w:r>
      <w:r w:rsidR="00936605" w:rsidRPr="00E35810">
        <w:rPr>
          <w:rFonts w:asciiTheme="minorHAnsi" w:hAnsiTheme="minorHAnsi" w:cstheme="minorHAnsi"/>
        </w:rPr>
        <w:t>D</w:t>
      </w:r>
      <w:r w:rsidR="00C92B13" w:rsidRPr="00E35810">
        <w:rPr>
          <w:rFonts w:asciiTheme="minorHAnsi" w:hAnsiTheme="minorHAnsi" w:cstheme="minorHAnsi"/>
        </w:rPr>
        <w:t>avid</w:t>
      </w:r>
      <w:r w:rsidR="00936605" w:rsidRPr="00E35810">
        <w:rPr>
          <w:rFonts w:asciiTheme="minorHAnsi" w:hAnsiTheme="minorHAnsi" w:cstheme="minorHAnsi"/>
        </w:rPr>
        <w:t xml:space="preserve"> Caygill </w:t>
      </w:r>
      <w:r w:rsidR="00C92B13" w:rsidRPr="00E35810">
        <w:rPr>
          <w:rFonts w:asciiTheme="minorHAnsi" w:hAnsiTheme="minorHAnsi" w:cstheme="minorHAnsi"/>
        </w:rPr>
        <w:t>“</w:t>
      </w:r>
      <w:r w:rsidR="00936605" w:rsidRPr="00E35810">
        <w:rPr>
          <w:rFonts w:asciiTheme="minorHAnsi" w:hAnsiTheme="minorHAnsi" w:cstheme="minorHAnsi"/>
        </w:rPr>
        <w:t>Deregulation</w:t>
      </w:r>
      <w:r w:rsidR="004A0F27" w:rsidRPr="00E35810">
        <w:rPr>
          <w:rFonts w:asciiTheme="minorHAnsi" w:hAnsiTheme="minorHAnsi" w:cstheme="minorHAnsi"/>
        </w:rPr>
        <w:t xml:space="preserve"> </w:t>
      </w:r>
      <w:r w:rsidR="00A21A26" w:rsidRPr="00E35810">
        <w:rPr>
          <w:rFonts w:asciiTheme="minorHAnsi" w:hAnsiTheme="minorHAnsi" w:cstheme="minorHAnsi"/>
        </w:rPr>
        <w:t>—</w:t>
      </w:r>
      <w:r w:rsidR="004A0F27" w:rsidRPr="00E35810">
        <w:rPr>
          <w:rFonts w:asciiTheme="minorHAnsi" w:hAnsiTheme="minorHAnsi" w:cstheme="minorHAnsi"/>
        </w:rPr>
        <w:t xml:space="preserve"> Finesse or Folly</w:t>
      </w:r>
      <w:r w:rsidR="00C92B13" w:rsidRPr="00E35810">
        <w:rPr>
          <w:rFonts w:asciiTheme="minorHAnsi" w:hAnsiTheme="minorHAnsi" w:cstheme="minorHAnsi"/>
        </w:rPr>
        <w:t>”</w:t>
      </w:r>
      <w:r w:rsidR="004A0F27" w:rsidRPr="00E35810">
        <w:rPr>
          <w:rFonts w:asciiTheme="minorHAnsi" w:hAnsiTheme="minorHAnsi" w:cstheme="minorHAnsi"/>
        </w:rPr>
        <w:t xml:space="preserve"> [1988] NZLJ 77.</w:t>
      </w:r>
      <w:r w:rsidR="00815216" w:rsidRPr="00E35810">
        <w:rPr>
          <w:rFonts w:asciiTheme="minorHAnsi" w:hAnsiTheme="minorHAnsi" w:cstheme="minorHAnsi"/>
        </w:rPr>
        <w:t xml:space="preserve"> See also </w:t>
      </w:r>
      <w:r w:rsidR="00000FE9" w:rsidRPr="00E35810">
        <w:rPr>
          <w:rFonts w:asciiTheme="minorHAnsi" w:hAnsiTheme="minorHAnsi" w:cstheme="minorHAnsi"/>
        </w:rPr>
        <w:t xml:space="preserve">Michael Taggart </w:t>
      </w:r>
      <w:r w:rsidR="008E372B" w:rsidRPr="00E35810">
        <w:rPr>
          <w:rFonts w:asciiTheme="minorHAnsi" w:hAnsiTheme="minorHAnsi" w:cstheme="minorHAnsi"/>
        </w:rPr>
        <w:t>“</w:t>
      </w:r>
      <w:r w:rsidR="00000FE9" w:rsidRPr="00E35810">
        <w:rPr>
          <w:rFonts w:asciiTheme="minorHAnsi" w:hAnsiTheme="minorHAnsi" w:cstheme="minorHAnsi"/>
        </w:rPr>
        <w:t>Corporatisation, privatisation and public law</w:t>
      </w:r>
      <w:r w:rsidR="008E372B" w:rsidRPr="00E35810">
        <w:rPr>
          <w:rFonts w:asciiTheme="minorHAnsi" w:hAnsiTheme="minorHAnsi" w:cstheme="minorHAnsi"/>
        </w:rPr>
        <w:t>”</w:t>
      </w:r>
      <w:r w:rsidR="00000FE9" w:rsidRPr="00E35810">
        <w:rPr>
          <w:rFonts w:asciiTheme="minorHAnsi" w:hAnsiTheme="minorHAnsi" w:cstheme="minorHAnsi"/>
        </w:rPr>
        <w:t xml:space="preserve"> </w:t>
      </w:r>
      <w:r w:rsidR="008E372B" w:rsidRPr="00E35810">
        <w:rPr>
          <w:rFonts w:asciiTheme="minorHAnsi" w:hAnsiTheme="minorHAnsi" w:cstheme="minorHAnsi"/>
        </w:rPr>
        <w:t>(Inaugural Lecture presented at University of Auckland, 12 September 1990)</w:t>
      </w:r>
      <w:r w:rsidR="00AB6E02" w:rsidRPr="00E35810">
        <w:rPr>
          <w:rFonts w:asciiTheme="minorHAnsi" w:hAnsiTheme="minorHAnsi" w:cstheme="minorHAnsi"/>
        </w:rPr>
        <w:t xml:space="preserve"> </w:t>
      </w:r>
      <w:r w:rsidR="0019349B" w:rsidRPr="00E35810">
        <w:rPr>
          <w:rFonts w:asciiTheme="minorHAnsi" w:hAnsiTheme="minorHAnsi" w:cstheme="minorHAnsi"/>
        </w:rPr>
        <w:t>at 30</w:t>
      </w:r>
      <w:r w:rsidR="00A21A26" w:rsidRPr="00E35810">
        <w:rPr>
          <w:rFonts w:asciiTheme="minorHAnsi" w:hAnsiTheme="minorHAnsi" w:cstheme="minorHAnsi"/>
        </w:rPr>
        <w:t>–</w:t>
      </w:r>
      <w:r w:rsidR="0019349B" w:rsidRPr="00E35810">
        <w:rPr>
          <w:rFonts w:asciiTheme="minorHAnsi" w:hAnsiTheme="minorHAnsi" w:cstheme="minorHAnsi"/>
        </w:rPr>
        <w:t>31.</w:t>
      </w:r>
    </w:p>
  </w:footnote>
  <w:footnote w:id="126">
    <w:p w14:paraId="34B2F729" w14:textId="6380F19D" w:rsidR="006504D5" w:rsidRPr="00E35810" w:rsidRDefault="006504D5"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1C1874" w:rsidRPr="00E35810">
        <w:rPr>
          <w:rFonts w:asciiTheme="minorHAnsi" w:hAnsiTheme="minorHAnsi" w:cstheme="minorHAnsi"/>
        </w:rPr>
        <w:tab/>
      </w:r>
      <w:r w:rsidR="00B95600" w:rsidRPr="00E35810">
        <w:rPr>
          <w:rFonts w:asciiTheme="minorHAnsi" w:hAnsiTheme="minorHAnsi" w:cstheme="minorHAnsi"/>
        </w:rPr>
        <w:t>Legislative Design and Advisory Committee</w:t>
      </w:r>
      <w:r w:rsidR="008E372B" w:rsidRPr="00E35810">
        <w:rPr>
          <w:rFonts w:asciiTheme="minorHAnsi" w:hAnsiTheme="minorHAnsi" w:cstheme="minorHAnsi"/>
        </w:rPr>
        <w:t xml:space="preserve">, above n </w:t>
      </w:r>
      <w:r w:rsidR="008E372B" w:rsidRPr="00E35810">
        <w:rPr>
          <w:rFonts w:asciiTheme="minorHAnsi" w:hAnsiTheme="minorHAnsi" w:cstheme="minorHAnsi"/>
        </w:rPr>
        <w:fldChar w:fldCharType="begin"/>
      </w:r>
      <w:r w:rsidR="008E372B" w:rsidRPr="00E35810">
        <w:rPr>
          <w:rFonts w:asciiTheme="minorHAnsi" w:hAnsiTheme="minorHAnsi" w:cstheme="minorHAnsi"/>
        </w:rPr>
        <w:instrText xml:space="preserve"> NOTEREF _Ref142465330 \h </w:instrText>
      </w:r>
      <w:r w:rsidR="00E35810">
        <w:rPr>
          <w:rFonts w:asciiTheme="minorHAnsi" w:hAnsiTheme="minorHAnsi" w:cstheme="minorHAnsi"/>
        </w:rPr>
        <w:instrText xml:space="preserve"> \* MERGEFORMAT </w:instrText>
      </w:r>
      <w:r w:rsidR="008E372B" w:rsidRPr="00E35810">
        <w:rPr>
          <w:rFonts w:asciiTheme="minorHAnsi" w:hAnsiTheme="minorHAnsi" w:cstheme="minorHAnsi"/>
        </w:rPr>
      </w:r>
      <w:r w:rsidR="008E372B" w:rsidRPr="00E35810">
        <w:rPr>
          <w:rFonts w:asciiTheme="minorHAnsi" w:hAnsiTheme="minorHAnsi" w:cstheme="minorHAnsi"/>
        </w:rPr>
        <w:fldChar w:fldCharType="separate"/>
      </w:r>
      <w:r w:rsidR="000E1DCF" w:rsidRPr="00E35810">
        <w:rPr>
          <w:rFonts w:asciiTheme="minorHAnsi" w:hAnsiTheme="minorHAnsi" w:cstheme="minorHAnsi"/>
        </w:rPr>
        <w:t>2</w:t>
      </w:r>
      <w:r w:rsidR="008E372B" w:rsidRPr="00E35810">
        <w:rPr>
          <w:rFonts w:asciiTheme="minorHAnsi" w:hAnsiTheme="minorHAnsi" w:cstheme="minorHAnsi"/>
        </w:rPr>
        <w:fldChar w:fldCharType="end"/>
      </w:r>
      <w:r w:rsidR="008E372B" w:rsidRPr="00E35810">
        <w:rPr>
          <w:rFonts w:asciiTheme="minorHAnsi" w:hAnsiTheme="minorHAnsi" w:cstheme="minorHAnsi"/>
        </w:rPr>
        <w:t>, at 54.</w:t>
      </w:r>
    </w:p>
  </w:footnote>
  <w:footnote w:id="127">
    <w:p w14:paraId="326F8612" w14:textId="64C20D1E" w:rsidR="00087638" w:rsidRPr="00E35810" w:rsidRDefault="00087638" w:rsidP="00CA7C8B">
      <w:pPr>
        <w:pStyle w:val="FootnotesLR"/>
        <w:rPr>
          <w:rFonts w:asciiTheme="minorHAnsi" w:hAnsiTheme="minorHAnsi" w:cstheme="minorHAnsi"/>
        </w:rPr>
      </w:pPr>
      <w:r w:rsidRPr="00E35810">
        <w:rPr>
          <w:rStyle w:val="FootnoteReference"/>
          <w:rFonts w:asciiTheme="minorHAnsi" w:hAnsiTheme="minorHAnsi" w:cstheme="minorHAnsi"/>
          <w:vertAlign w:val="baseline"/>
        </w:rPr>
        <w:footnoteRef/>
      </w:r>
      <w:r w:rsidRPr="00E35810">
        <w:rPr>
          <w:rFonts w:asciiTheme="minorHAnsi" w:hAnsiTheme="minorHAnsi" w:cstheme="minorHAnsi"/>
        </w:rPr>
        <w:t xml:space="preserve"> </w:t>
      </w:r>
      <w:r w:rsidR="001C1874" w:rsidRPr="00E35810">
        <w:rPr>
          <w:rFonts w:asciiTheme="minorHAnsi" w:hAnsiTheme="minorHAnsi" w:cstheme="minorHAnsi"/>
        </w:rPr>
        <w:tab/>
      </w:r>
      <w:r w:rsidRPr="00E35810">
        <w:rPr>
          <w:rFonts w:asciiTheme="minorHAnsi" w:hAnsiTheme="minorHAnsi" w:cstheme="minorHAnsi"/>
          <w:i/>
          <w:iCs/>
        </w:rPr>
        <w:t>Australian Competition and Consumer Commission v Baxter Healthcare Pty Ltd</w:t>
      </w:r>
      <w:r w:rsidR="00EB5F5D" w:rsidRPr="00E35810">
        <w:rPr>
          <w:rFonts w:asciiTheme="minorHAnsi" w:hAnsiTheme="minorHAnsi" w:cstheme="minorHAnsi"/>
        </w:rPr>
        <w:t xml:space="preserve">, above n </w:t>
      </w:r>
      <w:r w:rsidR="00EB5F5D" w:rsidRPr="00E35810">
        <w:rPr>
          <w:rFonts w:asciiTheme="minorHAnsi" w:hAnsiTheme="minorHAnsi" w:cstheme="minorHAnsi"/>
        </w:rPr>
        <w:fldChar w:fldCharType="begin"/>
      </w:r>
      <w:r w:rsidR="00EB5F5D" w:rsidRPr="00E35810">
        <w:rPr>
          <w:rFonts w:asciiTheme="minorHAnsi" w:hAnsiTheme="minorHAnsi" w:cstheme="minorHAnsi"/>
        </w:rPr>
        <w:instrText xml:space="preserve"> NOTEREF _Ref140928667 \h </w:instrText>
      </w:r>
      <w:r w:rsidR="00E35810">
        <w:rPr>
          <w:rFonts w:asciiTheme="minorHAnsi" w:hAnsiTheme="minorHAnsi" w:cstheme="minorHAnsi"/>
        </w:rPr>
        <w:instrText xml:space="preserve"> \* MERGEFORMAT </w:instrText>
      </w:r>
      <w:r w:rsidR="00EB5F5D" w:rsidRPr="00E35810">
        <w:rPr>
          <w:rFonts w:asciiTheme="minorHAnsi" w:hAnsiTheme="minorHAnsi" w:cstheme="minorHAnsi"/>
        </w:rPr>
      </w:r>
      <w:r w:rsidR="00EB5F5D" w:rsidRPr="00E35810">
        <w:rPr>
          <w:rFonts w:asciiTheme="minorHAnsi" w:hAnsiTheme="minorHAnsi" w:cstheme="minorHAnsi"/>
        </w:rPr>
        <w:fldChar w:fldCharType="separate"/>
      </w:r>
      <w:r w:rsidR="000E1DCF" w:rsidRPr="00E35810">
        <w:rPr>
          <w:rFonts w:asciiTheme="minorHAnsi" w:hAnsiTheme="minorHAnsi" w:cstheme="minorHAnsi"/>
        </w:rPr>
        <w:t>21</w:t>
      </w:r>
      <w:r w:rsidR="00EB5F5D" w:rsidRPr="00E35810">
        <w:rPr>
          <w:rFonts w:asciiTheme="minorHAnsi" w:hAnsiTheme="minorHAnsi" w:cstheme="minorHAnsi"/>
        </w:rPr>
        <w:fldChar w:fldCharType="end"/>
      </w:r>
      <w:r w:rsidR="00EB5F5D" w:rsidRPr="00E35810">
        <w:rPr>
          <w:rFonts w:asciiTheme="minorHAnsi" w:hAnsiTheme="minorHAnsi" w:cstheme="minorHAnsi"/>
        </w:rPr>
        <w:t>,</w:t>
      </w:r>
      <w:r w:rsidR="00A80EAC" w:rsidRPr="00E35810">
        <w:rPr>
          <w:rFonts w:asciiTheme="minorHAnsi" w:hAnsiTheme="minorHAnsi" w:cstheme="minorHAnsi"/>
        </w:rPr>
        <w:t xml:space="preserve"> a</w:t>
      </w:r>
      <w:r w:rsidRPr="00E35810">
        <w:rPr>
          <w:rFonts w:asciiTheme="minorHAnsi" w:hAnsiTheme="minorHAnsi" w:cstheme="minorHAnsi"/>
        </w:rPr>
        <w:t xml:space="preserve">t </w:t>
      </w:r>
      <w:r w:rsidR="00A80EAC" w:rsidRPr="00E35810">
        <w:rPr>
          <w:rFonts w:asciiTheme="minorHAnsi" w:hAnsiTheme="minorHAnsi" w:cstheme="minorHAnsi"/>
        </w:rPr>
        <w:t>[</w:t>
      </w:r>
      <w:r w:rsidRPr="00E35810">
        <w:rPr>
          <w:rFonts w:asciiTheme="minorHAnsi" w:hAnsiTheme="minorHAnsi" w:cstheme="minorHAnsi"/>
        </w:rPr>
        <w:t>48</w:t>
      </w:r>
      <w:r w:rsidR="00A80EAC" w:rsidRPr="00E35810">
        <w:rPr>
          <w:rFonts w:asciiTheme="minorHAnsi" w:hAnsiTheme="minorHAnsi" w:cstheme="minorHAns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777F9"/>
    <w:multiLevelType w:val="hybridMultilevel"/>
    <w:tmpl w:val="06B6E8A0"/>
    <w:lvl w:ilvl="0" w:tplc="FFFFFFFF">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770113F"/>
    <w:multiLevelType w:val="hybridMultilevel"/>
    <w:tmpl w:val="B296C314"/>
    <w:lvl w:ilvl="0" w:tplc="35046C72">
      <w:start w:val="2023"/>
      <w:numFmt w:val="bullet"/>
      <w:lvlText w:val=""/>
      <w:lvlJc w:val="left"/>
      <w:pPr>
        <w:ind w:left="720" w:hanging="360"/>
      </w:pPr>
      <w:rPr>
        <w:rFonts w:ascii="Symbol" w:eastAsiaTheme="minorHAnsi" w:hAnsi="Symbol" w:cstheme="minorBidi"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4A50813"/>
    <w:multiLevelType w:val="hybridMultilevel"/>
    <w:tmpl w:val="CC1CD92E"/>
    <w:lvl w:ilvl="0" w:tplc="6C5A4A68">
      <w:start w:val="1"/>
      <w:numFmt w:val="bullet"/>
      <w:lvlText w:val=""/>
      <w:lvlJc w:val="left"/>
      <w:pPr>
        <w:ind w:left="720" w:hanging="360"/>
      </w:pPr>
      <w:rPr>
        <w:rFonts w:ascii="Symbol" w:hAnsi="Symbol" w:hint="default"/>
      </w:rPr>
    </w:lvl>
    <w:lvl w:ilvl="1" w:tplc="DADA8C84">
      <w:start w:val="1"/>
      <w:numFmt w:val="bullet"/>
      <w:lvlText w:val=""/>
      <w:lvlJc w:val="left"/>
      <w:pPr>
        <w:ind w:left="1440" w:hanging="360"/>
      </w:pPr>
      <w:rPr>
        <w:rFonts w:ascii="Symbol" w:hAnsi="Symbol" w:hint="default"/>
      </w:rPr>
    </w:lvl>
    <w:lvl w:ilvl="2" w:tplc="0E5E9392">
      <w:start w:val="1"/>
      <w:numFmt w:val="bullet"/>
      <w:lvlText w:val=""/>
      <w:lvlJc w:val="left"/>
      <w:pPr>
        <w:ind w:left="2160" w:hanging="360"/>
      </w:pPr>
      <w:rPr>
        <w:rFonts w:ascii="Wingdings" w:hAnsi="Wingdings" w:hint="default"/>
      </w:rPr>
    </w:lvl>
    <w:lvl w:ilvl="3" w:tplc="F056CC8E">
      <w:start w:val="1"/>
      <w:numFmt w:val="bullet"/>
      <w:lvlText w:val=""/>
      <w:lvlJc w:val="left"/>
      <w:pPr>
        <w:ind w:left="2880" w:hanging="360"/>
      </w:pPr>
      <w:rPr>
        <w:rFonts w:ascii="Symbol" w:hAnsi="Symbol" w:hint="default"/>
      </w:rPr>
    </w:lvl>
    <w:lvl w:ilvl="4" w:tplc="22D259E0">
      <w:start w:val="1"/>
      <w:numFmt w:val="bullet"/>
      <w:lvlText w:val="o"/>
      <w:lvlJc w:val="left"/>
      <w:pPr>
        <w:ind w:left="3600" w:hanging="360"/>
      </w:pPr>
      <w:rPr>
        <w:rFonts w:ascii="Courier New" w:hAnsi="Courier New" w:hint="default"/>
      </w:rPr>
    </w:lvl>
    <w:lvl w:ilvl="5" w:tplc="604A7FEC">
      <w:start w:val="1"/>
      <w:numFmt w:val="bullet"/>
      <w:lvlText w:val=""/>
      <w:lvlJc w:val="left"/>
      <w:pPr>
        <w:ind w:left="4320" w:hanging="360"/>
      </w:pPr>
      <w:rPr>
        <w:rFonts w:ascii="Wingdings" w:hAnsi="Wingdings" w:hint="default"/>
      </w:rPr>
    </w:lvl>
    <w:lvl w:ilvl="6" w:tplc="1EFE7770">
      <w:start w:val="1"/>
      <w:numFmt w:val="bullet"/>
      <w:lvlText w:val=""/>
      <w:lvlJc w:val="left"/>
      <w:pPr>
        <w:ind w:left="5040" w:hanging="360"/>
      </w:pPr>
      <w:rPr>
        <w:rFonts w:ascii="Symbol" w:hAnsi="Symbol" w:hint="default"/>
      </w:rPr>
    </w:lvl>
    <w:lvl w:ilvl="7" w:tplc="83061170">
      <w:start w:val="1"/>
      <w:numFmt w:val="bullet"/>
      <w:lvlText w:val="o"/>
      <w:lvlJc w:val="left"/>
      <w:pPr>
        <w:ind w:left="5760" w:hanging="360"/>
      </w:pPr>
      <w:rPr>
        <w:rFonts w:ascii="Courier New" w:hAnsi="Courier New" w:hint="default"/>
      </w:rPr>
    </w:lvl>
    <w:lvl w:ilvl="8" w:tplc="6672A424">
      <w:start w:val="1"/>
      <w:numFmt w:val="bullet"/>
      <w:lvlText w:val=""/>
      <w:lvlJc w:val="left"/>
      <w:pPr>
        <w:ind w:left="6480" w:hanging="360"/>
      </w:pPr>
      <w:rPr>
        <w:rFonts w:ascii="Wingdings" w:hAnsi="Wingdings" w:hint="default"/>
      </w:rPr>
    </w:lvl>
  </w:abstractNum>
  <w:abstractNum w:abstractNumId="3" w15:restartNumberingAfterBreak="0">
    <w:nsid w:val="15D00BFB"/>
    <w:multiLevelType w:val="hybridMultilevel"/>
    <w:tmpl w:val="7A3CF5A6"/>
    <w:lvl w:ilvl="0" w:tplc="FAD09018">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4" w15:restartNumberingAfterBreak="0">
    <w:nsid w:val="15EF1E5C"/>
    <w:multiLevelType w:val="hybridMultilevel"/>
    <w:tmpl w:val="4F2EE80E"/>
    <w:lvl w:ilvl="0" w:tplc="EF74FBC4">
      <w:start w:val="1"/>
      <w:numFmt w:val="bullet"/>
      <w:lvlText w:val=""/>
      <w:lvlJc w:val="left"/>
      <w:pPr>
        <w:ind w:left="720" w:hanging="360"/>
      </w:pPr>
      <w:rPr>
        <w:rFonts w:ascii="Symbol" w:hAnsi="Symbol" w:hint="default"/>
      </w:rPr>
    </w:lvl>
    <w:lvl w:ilvl="1" w:tplc="1626391C">
      <w:start w:val="1"/>
      <w:numFmt w:val="bullet"/>
      <w:lvlText w:val="o"/>
      <w:lvlJc w:val="left"/>
      <w:pPr>
        <w:ind w:left="1440" w:hanging="360"/>
      </w:pPr>
      <w:rPr>
        <w:rFonts w:ascii="Courier New" w:hAnsi="Courier New" w:hint="default"/>
      </w:rPr>
    </w:lvl>
    <w:lvl w:ilvl="2" w:tplc="7A70AA4E">
      <w:start w:val="1"/>
      <w:numFmt w:val="bullet"/>
      <w:lvlText w:val=""/>
      <w:lvlJc w:val="left"/>
      <w:pPr>
        <w:ind w:left="2160" w:hanging="360"/>
      </w:pPr>
      <w:rPr>
        <w:rFonts w:ascii="Wingdings" w:hAnsi="Wingdings" w:hint="default"/>
      </w:rPr>
    </w:lvl>
    <w:lvl w:ilvl="3" w:tplc="06CC0C24">
      <w:start w:val="1"/>
      <w:numFmt w:val="bullet"/>
      <w:lvlText w:val=""/>
      <w:lvlJc w:val="left"/>
      <w:pPr>
        <w:ind w:left="2880" w:hanging="360"/>
      </w:pPr>
      <w:rPr>
        <w:rFonts w:ascii="Symbol" w:hAnsi="Symbol" w:hint="default"/>
      </w:rPr>
    </w:lvl>
    <w:lvl w:ilvl="4" w:tplc="17A225BC">
      <w:start w:val="1"/>
      <w:numFmt w:val="bullet"/>
      <w:lvlText w:val="o"/>
      <w:lvlJc w:val="left"/>
      <w:pPr>
        <w:ind w:left="3600" w:hanging="360"/>
      </w:pPr>
      <w:rPr>
        <w:rFonts w:ascii="Courier New" w:hAnsi="Courier New" w:hint="default"/>
      </w:rPr>
    </w:lvl>
    <w:lvl w:ilvl="5" w:tplc="0960E8A6">
      <w:start w:val="1"/>
      <w:numFmt w:val="bullet"/>
      <w:lvlText w:val=""/>
      <w:lvlJc w:val="left"/>
      <w:pPr>
        <w:ind w:left="4320" w:hanging="360"/>
      </w:pPr>
      <w:rPr>
        <w:rFonts w:ascii="Wingdings" w:hAnsi="Wingdings" w:hint="default"/>
      </w:rPr>
    </w:lvl>
    <w:lvl w:ilvl="6" w:tplc="EC0635AE">
      <w:start w:val="1"/>
      <w:numFmt w:val="bullet"/>
      <w:lvlText w:val=""/>
      <w:lvlJc w:val="left"/>
      <w:pPr>
        <w:ind w:left="5040" w:hanging="360"/>
      </w:pPr>
      <w:rPr>
        <w:rFonts w:ascii="Symbol" w:hAnsi="Symbol" w:hint="default"/>
      </w:rPr>
    </w:lvl>
    <w:lvl w:ilvl="7" w:tplc="B238B304">
      <w:start w:val="1"/>
      <w:numFmt w:val="bullet"/>
      <w:lvlText w:val="o"/>
      <w:lvlJc w:val="left"/>
      <w:pPr>
        <w:ind w:left="5760" w:hanging="360"/>
      </w:pPr>
      <w:rPr>
        <w:rFonts w:ascii="Courier New" w:hAnsi="Courier New" w:hint="default"/>
      </w:rPr>
    </w:lvl>
    <w:lvl w:ilvl="8" w:tplc="35CAE944">
      <w:start w:val="1"/>
      <w:numFmt w:val="bullet"/>
      <w:lvlText w:val=""/>
      <w:lvlJc w:val="left"/>
      <w:pPr>
        <w:ind w:left="6480" w:hanging="360"/>
      </w:pPr>
      <w:rPr>
        <w:rFonts w:ascii="Wingdings" w:hAnsi="Wingdings" w:hint="default"/>
      </w:rPr>
    </w:lvl>
  </w:abstractNum>
  <w:abstractNum w:abstractNumId="5" w15:restartNumberingAfterBreak="0">
    <w:nsid w:val="178B5355"/>
    <w:multiLevelType w:val="hybridMultilevel"/>
    <w:tmpl w:val="709EE194"/>
    <w:lvl w:ilvl="0" w:tplc="FAD09018">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6" w15:restartNumberingAfterBreak="0">
    <w:nsid w:val="1C54553F"/>
    <w:multiLevelType w:val="hybridMultilevel"/>
    <w:tmpl w:val="77DE1FE0"/>
    <w:lvl w:ilvl="0" w:tplc="262021D8">
      <w:start w:val="1"/>
      <w:numFmt w:val="bullet"/>
      <w:lvlText w:val=""/>
      <w:lvlJc w:val="left"/>
      <w:pPr>
        <w:ind w:left="720" w:hanging="360"/>
      </w:pPr>
      <w:rPr>
        <w:rFonts w:ascii="Symbol" w:hAnsi="Symbol" w:hint="default"/>
      </w:rPr>
    </w:lvl>
    <w:lvl w:ilvl="1" w:tplc="E56C0C76">
      <w:start w:val="1"/>
      <w:numFmt w:val="bullet"/>
      <w:lvlText w:val="o"/>
      <w:lvlJc w:val="left"/>
      <w:pPr>
        <w:ind w:left="1440" w:hanging="360"/>
      </w:pPr>
      <w:rPr>
        <w:rFonts w:ascii="Courier New" w:hAnsi="Courier New" w:hint="default"/>
      </w:rPr>
    </w:lvl>
    <w:lvl w:ilvl="2" w:tplc="52109A08">
      <w:start w:val="1"/>
      <w:numFmt w:val="bullet"/>
      <w:lvlText w:val=""/>
      <w:lvlJc w:val="left"/>
      <w:pPr>
        <w:ind w:left="2160" w:hanging="360"/>
      </w:pPr>
      <w:rPr>
        <w:rFonts w:ascii="Wingdings" w:hAnsi="Wingdings" w:hint="default"/>
      </w:rPr>
    </w:lvl>
    <w:lvl w:ilvl="3" w:tplc="A4DAE570">
      <w:start w:val="1"/>
      <w:numFmt w:val="bullet"/>
      <w:lvlText w:val=""/>
      <w:lvlJc w:val="left"/>
      <w:pPr>
        <w:ind w:left="2880" w:hanging="360"/>
      </w:pPr>
      <w:rPr>
        <w:rFonts w:ascii="Symbol" w:hAnsi="Symbol" w:hint="default"/>
      </w:rPr>
    </w:lvl>
    <w:lvl w:ilvl="4" w:tplc="B4B04B78">
      <w:start w:val="1"/>
      <w:numFmt w:val="bullet"/>
      <w:lvlText w:val="o"/>
      <w:lvlJc w:val="left"/>
      <w:pPr>
        <w:ind w:left="3600" w:hanging="360"/>
      </w:pPr>
      <w:rPr>
        <w:rFonts w:ascii="Courier New" w:hAnsi="Courier New" w:hint="default"/>
      </w:rPr>
    </w:lvl>
    <w:lvl w:ilvl="5" w:tplc="8D766448">
      <w:start w:val="1"/>
      <w:numFmt w:val="bullet"/>
      <w:lvlText w:val=""/>
      <w:lvlJc w:val="left"/>
      <w:pPr>
        <w:ind w:left="4320" w:hanging="360"/>
      </w:pPr>
      <w:rPr>
        <w:rFonts w:ascii="Wingdings" w:hAnsi="Wingdings" w:hint="default"/>
      </w:rPr>
    </w:lvl>
    <w:lvl w:ilvl="6" w:tplc="7DC80898">
      <w:start w:val="1"/>
      <w:numFmt w:val="bullet"/>
      <w:lvlText w:val=""/>
      <w:lvlJc w:val="left"/>
      <w:pPr>
        <w:ind w:left="5040" w:hanging="360"/>
      </w:pPr>
      <w:rPr>
        <w:rFonts w:ascii="Symbol" w:hAnsi="Symbol" w:hint="default"/>
      </w:rPr>
    </w:lvl>
    <w:lvl w:ilvl="7" w:tplc="2180719C">
      <w:start w:val="1"/>
      <w:numFmt w:val="bullet"/>
      <w:lvlText w:val="o"/>
      <w:lvlJc w:val="left"/>
      <w:pPr>
        <w:ind w:left="5760" w:hanging="360"/>
      </w:pPr>
      <w:rPr>
        <w:rFonts w:ascii="Courier New" w:hAnsi="Courier New" w:hint="default"/>
      </w:rPr>
    </w:lvl>
    <w:lvl w:ilvl="8" w:tplc="F33AA216">
      <w:start w:val="1"/>
      <w:numFmt w:val="bullet"/>
      <w:lvlText w:val=""/>
      <w:lvlJc w:val="left"/>
      <w:pPr>
        <w:ind w:left="6480" w:hanging="360"/>
      </w:pPr>
      <w:rPr>
        <w:rFonts w:ascii="Wingdings" w:hAnsi="Wingdings" w:hint="default"/>
      </w:rPr>
    </w:lvl>
  </w:abstractNum>
  <w:abstractNum w:abstractNumId="7" w15:restartNumberingAfterBreak="0">
    <w:nsid w:val="22C04DE6"/>
    <w:multiLevelType w:val="hybridMultilevel"/>
    <w:tmpl w:val="AA78275E"/>
    <w:lvl w:ilvl="0" w:tplc="EE06F110">
      <w:start w:val="1"/>
      <w:numFmt w:val="bullet"/>
      <w:lvlText w:val=""/>
      <w:lvlJc w:val="left"/>
      <w:pPr>
        <w:ind w:left="360" w:hanging="360"/>
      </w:pPr>
      <w:rPr>
        <w:rFonts w:ascii="Symbol" w:eastAsiaTheme="minorHAnsi" w:hAnsi="Symbol" w:cstheme="minorBidi"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8" w15:restartNumberingAfterBreak="0">
    <w:nsid w:val="2B63B499"/>
    <w:multiLevelType w:val="hybridMultilevel"/>
    <w:tmpl w:val="A0D0CE48"/>
    <w:lvl w:ilvl="0" w:tplc="23D87456">
      <w:start w:val="1"/>
      <w:numFmt w:val="bullet"/>
      <w:lvlText w:val=""/>
      <w:lvlJc w:val="left"/>
      <w:pPr>
        <w:ind w:left="720" w:hanging="360"/>
      </w:pPr>
      <w:rPr>
        <w:rFonts w:ascii="Symbol" w:hAnsi="Symbol" w:hint="default"/>
      </w:rPr>
    </w:lvl>
    <w:lvl w:ilvl="1" w:tplc="8716D6C4">
      <w:start w:val="1"/>
      <w:numFmt w:val="bullet"/>
      <w:lvlText w:val="o"/>
      <w:lvlJc w:val="left"/>
      <w:pPr>
        <w:ind w:left="1440" w:hanging="360"/>
      </w:pPr>
      <w:rPr>
        <w:rFonts w:ascii="Courier New" w:hAnsi="Courier New" w:hint="default"/>
      </w:rPr>
    </w:lvl>
    <w:lvl w:ilvl="2" w:tplc="AC585326">
      <w:start w:val="1"/>
      <w:numFmt w:val="bullet"/>
      <w:lvlText w:val=""/>
      <w:lvlJc w:val="left"/>
      <w:pPr>
        <w:ind w:left="2160" w:hanging="360"/>
      </w:pPr>
      <w:rPr>
        <w:rFonts w:ascii="Wingdings" w:hAnsi="Wingdings" w:hint="default"/>
      </w:rPr>
    </w:lvl>
    <w:lvl w:ilvl="3" w:tplc="37426D36">
      <w:start w:val="1"/>
      <w:numFmt w:val="bullet"/>
      <w:lvlText w:val=""/>
      <w:lvlJc w:val="left"/>
      <w:pPr>
        <w:ind w:left="2880" w:hanging="360"/>
      </w:pPr>
      <w:rPr>
        <w:rFonts w:ascii="Symbol" w:hAnsi="Symbol" w:hint="default"/>
      </w:rPr>
    </w:lvl>
    <w:lvl w:ilvl="4" w:tplc="32A069BA">
      <w:start w:val="1"/>
      <w:numFmt w:val="bullet"/>
      <w:lvlText w:val="o"/>
      <w:lvlJc w:val="left"/>
      <w:pPr>
        <w:ind w:left="3600" w:hanging="360"/>
      </w:pPr>
      <w:rPr>
        <w:rFonts w:ascii="Courier New" w:hAnsi="Courier New" w:hint="default"/>
      </w:rPr>
    </w:lvl>
    <w:lvl w:ilvl="5" w:tplc="A3AA2A14">
      <w:start w:val="1"/>
      <w:numFmt w:val="bullet"/>
      <w:lvlText w:val=""/>
      <w:lvlJc w:val="left"/>
      <w:pPr>
        <w:ind w:left="4320" w:hanging="360"/>
      </w:pPr>
      <w:rPr>
        <w:rFonts w:ascii="Wingdings" w:hAnsi="Wingdings" w:hint="default"/>
      </w:rPr>
    </w:lvl>
    <w:lvl w:ilvl="6" w:tplc="C9CE6A14">
      <w:start w:val="1"/>
      <w:numFmt w:val="bullet"/>
      <w:lvlText w:val=""/>
      <w:lvlJc w:val="left"/>
      <w:pPr>
        <w:ind w:left="5040" w:hanging="360"/>
      </w:pPr>
      <w:rPr>
        <w:rFonts w:ascii="Symbol" w:hAnsi="Symbol" w:hint="default"/>
      </w:rPr>
    </w:lvl>
    <w:lvl w:ilvl="7" w:tplc="DC60D340">
      <w:start w:val="1"/>
      <w:numFmt w:val="bullet"/>
      <w:lvlText w:val="o"/>
      <w:lvlJc w:val="left"/>
      <w:pPr>
        <w:ind w:left="5760" w:hanging="360"/>
      </w:pPr>
      <w:rPr>
        <w:rFonts w:ascii="Courier New" w:hAnsi="Courier New" w:hint="default"/>
      </w:rPr>
    </w:lvl>
    <w:lvl w:ilvl="8" w:tplc="BC3E3F9A">
      <w:start w:val="1"/>
      <w:numFmt w:val="bullet"/>
      <w:lvlText w:val=""/>
      <w:lvlJc w:val="left"/>
      <w:pPr>
        <w:ind w:left="6480" w:hanging="360"/>
      </w:pPr>
      <w:rPr>
        <w:rFonts w:ascii="Wingdings" w:hAnsi="Wingdings" w:hint="default"/>
      </w:rPr>
    </w:lvl>
  </w:abstractNum>
  <w:abstractNum w:abstractNumId="9" w15:restartNumberingAfterBreak="0">
    <w:nsid w:val="2D4673E1"/>
    <w:multiLevelType w:val="hybridMultilevel"/>
    <w:tmpl w:val="E0F6BDE4"/>
    <w:lvl w:ilvl="0" w:tplc="784A5242">
      <w:start w:val="1"/>
      <w:numFmt w:val="bullet"/>
      <w:lvlText w:val=""/>
      <w:lvlJc w:val="left"/>
      <w:pPr>
        <w:ind w:left="720" w:hanging="360"/>
      </w:pPr>
      <w:rPr>
        <w:rFonts w:ascii="Symbol" w:hAnsi="Symbol" w:hint="default"/>
      </w:rPr>
    </w:lvl>
    <w:lvl w:ilvl="1" w:tplc="1D38466C">
      <w:start w:val="1"/>
      <w:numFmt w:val="bullet"/>
      <w:lvlText w:val="o"/>
      <w:lvlJc w:val="left"/>
      <w:pPr>
        <w:ind w:left="1440" w:hanging="360"/>
      </w:pPr>
      <w:rPr>
        <w:rFonts w:ascii="Courier New" w:hAnsi="Courier New" w:hint="default"/>
      </w:rPr>
    </w:lvl>
    <w:lvl w:ilvl="2" w:tplc="04EAE87C">
      <w:start w:val="1"/>
      <w:numFmt w:val="bullet"/>
      <w:lvlText w:val=""/>
      <w:lvlJc w:val="left"/>
      <w:pPr>
        <w:ind w:left="2160" w:hanging="360"/>
      </w:pPr>
      <w:rPr>
        <w:rFonts w:ascii="Wingdings" w:hAnsi="Wingdings" w:hint="default"/>
      </w:rPr>
    </w:lvl>
    <w:lvl w:ilvl="3" w:tplc="5A2CAAFE">
      <w:start w:val="1"/>
      <w:numFmt w:val="bullet"/>
      <w:lvlText w:val=""/>
      <w:lvlJc w:val="left"/>
      <w:pPr>
        <w:ind w:left="2880" w:hanging="360"/>
      </w:pPr>
      <w:rPr>
        <w:rFonts w:ascii="Symbol" w:hAnsi="Symbol" w:hint="default"/>
      </w:rPr>
    </w:lvl>
    <w:lvl w:ilvl="4" w:tplc="5254F908">
      <w:start w:val="1"/>
      <w:numFmt w:val="bullet"/>
      <w:lvlText w:val="o"/>
      <w:lvlJc w:val="left"/>
      <w:pPr>
        <w:ind w:left="3600" w:hanging="360"/>
      </w:pPr>
      <w:rPr>
        <w:rFonts w:ascii="Courier New" w:hAnsi="Courier New" w:hint="default"/>
      </w:rPr>
    </w:lvl>
    <w:lvl w:ilvl="5" w:tplc="3E14D558">
      <w:start w:val="1"/>
      <w:numFmt w:val="bullet"/>
      <w:lvlText w:val=""/>
      <w:lvlJc w:val="left"/>
      <w:pPr>
        <w:ind w:left="4320" w:hanging="360"/>
      </w:pPr>
      <w:rPr>
        <w:rFonts w:ascii="Wingdings" w:hAnsi="Wingdings" w:hint="default"/>
      </w:rPr>
    </w:lvl>
    <w:lvl w:ilvl="6" w:tplc="2DCC3D68">
      <w:start w:val="1"/>
      <w:numFmt w:val="bullet"/>
      <w:lvlText w:val=""/>
      <w:lvlJc w:val="left"/>
      <w:pPr>
        <w:ind w:left="5040" w:hanging="360"/>
      </w:pPr>
      <w:rPr>
        <w:rFonts w:ascii="Symbol" w:hAnsi="Symbol" w:hint="default"/>
      </w:rPr>
    </w:lvl>
    <w:lvl w:ilvl="7" w:tplc="1A905AF4">
      <w:start w:val="1"/>
      <w:numFmt w:val="bullet"/>
      <w:lvlText w:val="o"/>
      <w:lvlJc w:val="left"/>
      <w:pPr>
        <w:ind w:left="5760" w:hanging="360"/>
      </w:pPr>
      <w:rPr>
        <w:rFonts w:ascii="Courier New" w:hAnsi="Courier New" w:hint="default"/>
      </w:rPr>
    </w:lvl>
    <w:lvl w:ilvl="8" w:tplc="B810AF30">
      <w:start w:val="1"/>
      <w:numFmt w:val="bullet"/>
      <w:lvlText w:val=""/>
      <w:lvlJc w:val="left"/>
      <w:pPr>
        <w:ind w:left="6480" w:hanging="360"/>
      </w:pPr>
      <w:rPr>
        <w:rFonts w:ascii="Wingdings" w:hAnsi="Wingdings" w:hint="default"/>
      </w:rPr>
    </w:lvl>
  </w:abstractNum>
  <w:abstractNum w:abstractNumId="10" w15:restartNumberingAfterBreak="0">
    <w:nsid w:val="32A17C4C"/>
    <w:multiLevelType w:val="hybridMultilevel"/>
    <w:tmpl w:val="862E2C90"/>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1" w15:restartNumberingAfterBreak="0">
    <w:nsid w:val="3C27F012"/>
    <w:multiLevelType w:val="hybridMultilevel"/>
    <w:tmpl w:val="D10426C6"/>
    <w:lvl w:ilvl="0" w:tplc="F618988E">
      <w:start w:val="1"/>
      <w:numFmt w:val="bullet"/>
      <w:lvlText w:val=""/>
      <w:lvlJc w:val="left"/>
      <w:pPr>
        <w:ind w:left="720" w:hanging="360"/>
      </w:pPr>
      <w:rPr>
        <w:rFonts w:ascii="Symbol" w:hAnsi="Symbol" w:hint="default"/>
      </w:rPr>
    </w:lvl>
    <w:lvl w:ilvl="1" w:tplc="092C608A">
      <w:start w:val="1"/>
      <w:numFmt w:val="bullet"/>
      <w:lvlText w:val="o"/>
      <w:lvlJc w:val="left"/>
      <w:pPr>
        <w:ind w:left="1440" w:hanging="360"/>
      </w:pPr>
      <w:rPr>
        <w:rFonts w:ascii="Courier New" w:hAnsi="Courier New" w:hint="default"/>
      </w:rPr>
    </w:lvl>
    <w:lvl w:ilvl="2" w:tplc="1B448378">
      <w:start w:val="1"/>
      <w:numFmt w:val="bullet"/>
      <w:lvlText w:val=""/>
      <w:lvlJc w:val="left"/>
      <w:pPr>
        <w:ind w:left="2160" w:hanging="360"/>
      </w:pPr>
      <w:rPr>
        <w:rFonts w:ascii="Wingdings" w:hAnsi="Wingdings" w:hint="default"/>
      </w:rPr>
    </w:lvl>
    <w:lvl w:ilvl="3" w:tplc="2ABA9DB8">
      <w:start w:val="1"/>
      <w:numFmt w:val="bullet"/>
      <w:lvlText w:val=""/>
      <w:lvlJc w:val="left"/>
      <w:pPr>
        <w:ind w:left="2880" w:hanging="360"/>
      </w:pPr>
      <w:rPr>
        <w:rFonts w:ascii="Symbol" w:hAnsi="Symbol" w:hint="default"/>
      </w:rPr>
    </w:lvl>
    <w:lvl w:ilvl="4" w:tplc="1E7E49F6">
      <w:start w:val="1"/>
      <w:numFmt w:val="bullet"/>
      <w:lvlText w:val="o"/>
      <w:lvlJc w:val="left"/>
      <w:pPr>
        <w:ind w:left="3600" w:hanging="360"/>
      </w:pPr>
      <w:rPr>
        <w:rFonts w:ascii="Courier New" w:hAnsi="Courier New" w:hint="default"/>
      </w:rPr>
    </w:lvl>
    <w:lvl w:ilvl="5" w:tplc="ECC85412">
      <w:start w:val="1"/>
      <w:numFmt w:val="bullet"/>
      <w:lvlText w:val=""/>
      <w:lvlJc w:val="left"/>
      <w:pPr>
        <w:ind w:left="4320" w:hanging="360"/>
      </w:pPr>
      <w:rPr>
        <w:rFonts w:ascii="Wingdings" w:hAnsi="Wingdings" w:hint="default"/>
      </w:rPr>
    </w:lvl>
    <w:lvl w:ilvl="6" w:tplc="9702B394">
      <w:start w:val="1"/>
      <w:numFmt w:val="bullet"/>
      <w:lvlText w:val=""/>
      <w:lvlJc w:val="left"/>
      <w:pPr>
        <w:ind w:left="5040" w:hanging="360"/>
      </w:pPr>
      <w:rPr>
        <w:rFonts w:ascii="Symbol" w:hAnsi="Symbol" w:hint="default"/>
      </w:rPr>
    </w:lvl>
    <w:lvl w:ilvl="7" w:tplc="E6780740">
      <w:start w:val="1"/>
      <w:numFmt w:val="bullet"/>
      <w:lvlText w:val="o"/>
      <w:lvlJc w:val="left"/>
      <w:pPr>
        <w:ind w:left="5760" w:hanging="360"/>
      </w:pPr>
      <w:rPr>
        <w:rFonts w:ascii="Courier New" w:hAnsi="Courier New" w:hint="default"/>
      </w:rPr>
    </w:lvl>
    <w:lvl w:ilvl="8" w:tplc="9448240A">
      <w:start w:val="1"/>
      <w:numFmt w:val="bullet"/>
      <w:lvlText w:val=""/>
      <w:lvlJc w:val="left"/>
      <w:pPr>
        <w:ind w:left="6480" w:hanging="360"/>
      </w:pPr>
      <w:rPr>
        <w:rFonts w:ascii="Wingdings" w:hAnsi="Wingdings" w:hint="default"/>
      </w:rPr>
    </w:lvl>
  </w:abstractNum>
  <w:abstractNum w:abstractNumId="12" w15:restartNumberingAfterBreak="0">
    <w:nsid w:val="3E22E325"/>
    <w:multiLevelType w:val="hybridMultilevel"/>
    <w:tmpl w:val="23420E62"/>
    <w:lvl w:ilvl="0" w:tplc="3F82F08E">
      <w:start w:val="1"/>
      <w:numFmt w:val="bullet"/>
      <w:lvlText w:val=""/>
      <w:lvlJc w:val="left"/>
      <w:pPr>
        <w:ind w:left="720" w:hanging="360"/>
      </w:pPr>
      <w:rPr>
        <w:rFonts w:ascii="Symbol" w:hAnsi="Symbol" w:hint="default"/>
      </w:rPr>
    </w:lvl>
    <w:lvl w:ilvl="1" w:tplc="0D90C330">
      <w:start w:val="1"/>
      <w:numFmt w:val="bullet"/>
      <w:lvlText w:val="o"/>
      <w:lvlJc w:val="left"/>
      <w:pPr>
        <w:ind w:left="1440" w:hanging="360"/>
      </w:pPr>
      <w:rPr>
        <w:rFonts w:ascii="Courier New" w:hAnsi="Courier New" w:hint="default"/>
      </w:rPr>
    </w:lvl>
    <w:lvl w:ilvl="2" w:tplc="95E4C2FC">
      <w:start w:val="1"/>
      <w:numFmt w:val="bullet"/>
      <w:lvlText w:val=""/>
      <w:lvlJc w:val="left"/>
      <w:pPr>
        <w:ind w:left="2160" w:hanging="360"/>
      </w:pPr>
      <w:rPr>
        <w:rFonts w:ascii="Wingdings" w:hAnsi="Wingdings" w:hint="default"/>
      </w:rPr>
    </w:lvl>
    <w:lvl w:ilvl="3" w:tplc="BA48D822">
      <w:start w:val="1"/>
      <w:numFmt w:val="bullet"/>
      <w:lvlText w:val=""/>
      <w:lvlJc w:val="left"/>
      <w:pPr>
        <w:ind w:left="2880" w:hanging="360"/>
      </w:pPr>
      <w:rPr>
        <w:rFonts w:ascii="Symbol" w:hAnsi="Symbol" w:hint="default"/>
      </w:rPr>
    </w:lvl>
    <w:lvl w:ilvl="4" w:tplc="21ECA440">
      <w:start w:val="1"/>
      <w:numFmt w:val="bullet"/>
      <w:lvlText w:val="o"/>
      <w:lvlJc w:val="left"/>
      <w:pPr>
        <w:ind w:left="3600" w:hanging="360"/>
      </w:pPr>
      <w:rPr>
        <w:rFonts w:ascii="Courier New" w:hAnsi="Courier New" w:hint="default"/>
      </w:rPr>
    </w:lvl>
    <w:lvl w:ilvl="5" w:tplc="A2704FB8">
      <w:start w:val="1"/>
      <w:numFmt w:val="bullet"/>
      <w:lvlText w:val=""/>
      <w:lvlJc w:val="left"/>
      <w:pPr>
        <w:ind w:left="4320" w:hanging="360"/>
      </w:pPr>
      <w:rPr>
        <w:rFonts w:ascii="Wingdings" w:hAnsi="Wingdings" w:hint="default"/>
      </w:rPr>
    </w:lvl>
    <w:lvl w:ilvl="6" w:tplc="B8F66B16">
      <w:start w:val="1"/>
      <w:numFmt w:val="bullet"/>
      <w:lvlText w:val=""/>
      <w:lvlJc w:val="left"/>
      <w:pPr>
        <w:ind w:left="5040" w:hanging="360"/>
      </w:pPr>
      <w:rPr>
        <w:rFonts w:ascii="Symbol" w:hAnsi="Symbol" w:hint="default"/>
      </w:rPr>
    </w:lvl>
    <w:lvl w:ilvl="7" w:tplc="8EA035DA">
      <w:start w:val="1"/>
      <w:numFmt w:val="bullet"/>
      <w:lvlText w:val="o"/>
      <w:lvlJc w:val="left"/>
      <w:pPr>
        <w:ind w:left="5760" w:hanging="360"/>
      </w:pPr>
      <w:rPr>
        <w:rFonts w:ascii="Courier New" w:hAnsi="Courier New" w:hint="default"/>
      </w:rPr>
    </w:lvl>
    <w:lvl w:ilvl="8" w:tplc="5252AAA8">
      <w:start w:val="1"/>
      <w:numFmt w:val="bullet"/>
      <w:lvlText w:val=""/>
      <w:lvlJc w:val="left"/>
      <w:pPr>
        <w:ind w:left="6480" w:hanging="360"/>
      </w:pPr>
      <w:rPr>
        <w:rFonts w:ascii="Wingdings" w:hAnsi="Wingdings" w:hint="default"/>
      </w:rPr>
    </w:lvl>
  </w:abstractNum>
  <w:abstractNum w:abstractNumId="13" w15:restartNumberingAfterBreak="0">
    <w:nsid w:val="40046418"/>
    <w:multiLevelType w:val="hybridMultilevel"/>
    <w:tmpl w:val="E3DC2CFE"/>
    <w:lvl w:ilvl="0" w:tplc="6900964E">
      <w:start w:val="1"/>
      <w:numFmt w:val="bullet"/>
      <w:lvlText w:val=""/>
      <w:lvlJc w:val="left"/>
      <w:pPr>
        <w:ind w:left="720" w:hanging="360"/>
      </w:pPr>
      <w:rPr>
        <w:rFonts w:ascii="Symbol" w:hAnsi="Symbol" w:hint="default"/>
      </w:rPr>
    </w:lvl>
    <w:lvl w:ilvl="1" w:tplc="9AEA92DA">
      <w:start w:val="1"/>
      <w:numFmt w:val="bullet"/>
      <w:lvlText w:val="o"/>
      <w:lvlJc w:val="left"/>
      <w:pPr>
        <w:ind w:left="1440" w:hanging="360"/>
      </w:pPr>
      <w:rPr>
        <w:rFonts w:ascii="Courier New" w:hAnsi="Courier New" w:hint="default"/>
      </w:rPr>
    </w:lvl>
    <w:lvl w:ilvl="2" w:tplc="2332B5D6">
      <w:start w:val="1"/>
      <w:numFmt w:val="bullet"/>
      <w:lvlText w:val=""/>
      <w:lvlJc w:val="left"/>
      <w:pPr>
        <w:ind w:left="2160" w:hanging="360"/>
      </w:pPr>
      <w:rPr>
        <w:rFonts w:ascii="Wingdings" w:hAnsi="Wingdings" w:hint="default"/>
      </w:rPr>
    </w:lvl>
    <w:lvl w:ilvl="3" w:tplc="8A66E9E2">
      <w:start w:val="1"/>
      <w:numFmt w:val="bullet"/>
      <w:lvlText w:val=""/>
      <w:lvlJc w:val="left"/>
      <w:pPr>
        <w:ind w:left="2880" w:hanging="360"/>
      </w:pPr>
      <w:rPr>
        <w:rFonts w:ascii="Symbol" w:hAnsi="Symbol" w:hint="default"/>
      </w:rPr>
    </w:lvl>
    <w:lvl w:ilvl="4" w:tplc="4304678C">
      <w:start w:val="1"/>
      <w:numFmt w:val="bullet"/>
      <w:lvlText w:val="o"/>
      <w:lvlJc w:val="left"/>
      <w:pPr>
        <w:ind w:left="3600" w:hanging="360"/>
      </w:pPr>
      <w:rPr>
        <w:rFonts w:ascii="Courier New" w:hAnsi="Courier New" w:hint="default"/>
      </w:rPr>
    </w:lvl>
    <w:lvl w:ilvl="5" w:tplc="030A189A">
      <w:start w:val="1"/>
      <w:numFmt w:val="bullet"/>
      <w:lvlText w:val=""/>
      <w:lvlJc w:val="left"/>
      <w:pPr>
        <w:ind w:left="4320" w:hanging="360"/>
      </w:pPr>
      <w:rPr>
        <w:rFonts w:ascii="Wingdings" w:hAnsi="Wingdings" w:hint="default"/>
      </w:rPr>
    </w:lvl>
    <w:lvl w:ilvl="6" w:tplc="4EAED8B8">
      <w:start w:val="1"/>
      <w:numFmt w:val="bullet"/>
      <w:lvlText w:val=""/>
      <w:lvlJc w:val="left"/>
      <w:pPr>
        <w:ind w:left="5040" w:hanging="360"/>
      </w:pPr>
      <w:rPr>
        <w:rFonts w:ascii="Symbol" w:hAnsi="Symbol" w:hint="default"/>
      </w:rPr>
    </w:lvl>
    <w:lvl w:ilvl="7" w:tplc="C39CC3E0">
      <w:start w:val="1"/>
      <w:numFmt w:val="bullet"/>
      <w:lvlText w:val="o"/>
      <w:lvlJc w:val="left"/>
      <w:pPr>
        <w:ind w:left="5760" w:hanging="360"/>
      </w:pPr>
      <w:rPr>
        <w:rFonts w:ascii="Courier New" w:hAnsi="Courier New" w:hint="default"/>
      </w:rPr>
    </w:lvl>
    <w:lvl w:ilvl="8" w:tplc="DF0ED5CE">
      <w:start w:val="1"/>
      <w:numFmt w:val="bullet"/>
      <w:lvlText w:val=""/>
      <w:lvlJc w:val="left"/>
      <w:pPr>
        <w:ind w:left="6480" w:hanging="360"/>
      </w:pPr>
      <w:rPr>
        <w:rFonts w:ascii="Wingdings" w:hAnsi="Wingdings" w:hint="default"/>
      </w:rPr>
    </w:lvl>
  </w:abstractNum>
  <w:abstractNum w:abstractNumId="14" w15:restartNumberingAfterBreak="0">
    <w:nsid w:val="471A0057"/>
    <w:multiLevelType w:val="hybridMultilevel"/>
    <w:tmpl w:val="605C197C"/>
    <w:lvl w:ilvl="0" w:tplc="560EAADC">
      <w:start w:val="1"/>
      <w:numFmt w:val="decimal"/>
      <w:lvlText w:val="(%1)"/>
      <w:lvlJc w:val="left"/>
      <w:pPr>
        <w:ind w:left="724" w:hanging="384"/>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5" w15:restartNumberingAfterBreak="0">
    <w:nsid w:val="59839840"/>
    <w:multiLevelType w:val="hybridMultilevel"/>
    <w:tmpl w:val="5650C6E2"/>
    <w:lvl w:ilvl="0" w:tplc="500C54E6">
      <w:start w:val="1"/>
      <w:numFmt w:val="bullet"/>
      <w:lvlText w:val=""/>
      <w:lvlJc w:val="left"/>
      <w:pPr>
        <w:ind w:left="720" w:hanging="360"/>
      </w:pPr>
      <w:rPr>
        <w:rFonts w:ascii="Symbol" w:hAnsi="Symbol" w:hint="default"/>
      </w:rPr>
    </w:lvl>
    <w:lvl w:ilvl="1" w:tplc="82465208">
      <w:start w:val="1"/>
      <w:numFmt w:val="bullet"/>
      <w:lvlText w:val="o"/>
      <w:lvlJc w:val="left"/>
      <w:pPr>
        <w:ind w:left="1440" w:hanging="360"/>
      </w:pPr>
      <w:rPr>
        <w:rFonts w:ascii="Courier New" w:hAnsi="Courier New" w:hint="default"/>
      </w:rPr>
    </w:lvl>
    <w:lvl w:ilvl="2" w:tplc="9738D79E">
      <w:start w:val="1"/>
      <w:numFmt w:val="bullet"/>
      <w:lvlText w:val=""/>
      <w:lvlJc w:val="left"/>
      <w:pPr>
        <w:ind w:left="2160" w:hanging="360"/>
      </w:pPr>
      <w:rPr>
        <w:rFonts w:ascii="Wingdings" w:hAnsi="Wingdings" w:hint="default"/>
      </w:rPr>
    </w:lvl>
    <w:lvl w:ilvl="3" w:tplc="632E7A96">
      <w:start w:val="1"/>
      <w:numFmt w:val="bullet"/>
      <w:lvlText w:val=""/>
      <w:lvlJc w:val="left"/>
      <w:pPr>
        <w:ind w:left="2880" w:hanging="360"/>
      </w:pPr>
      <w:rPr>
        <w:rFonts w:ascii="Symbol" w:hAnsi="Symbol" w:hint="default"/>
      </w:rPr>
    </w:lvl>
    <w:lvl w:ilvl="4" w:tplc="6A825602">
      <w:start w:val="1"/>
      <w:numFmt w:val="bullet"/>
      <w:lvlText w:val="o"/>
      <w:lvlJc w:val="left"/>
      <w:pPr>
        <w:ind w:left="3600" w:hanging="360"/>
      </w:pPr>
      <w:rPr>
        <w:rFonts w:ascii="Courier New" w:hAnsi="Courier New" w:hint="default"/>
      </w:rPr>
    </w:lvl>
    <w:lvl w:ilvl="5" w:tplc="E6B8BBFE">
      <w:start w:val="1"/>
      <w:numFmt w:val="bullet"/>
      <w:lvlText w:val=""/>
      <w:lvlJc w:val="left"/>
      <w:pPr>
        <w:ind w:left="4320" w:hanging="360"/>
      </w:pPr>
      <w:rPr>
        <w:rFonts w:ascii="Wingdings" w:hAnsi="Wingdings" w:hint="default"/>
      </w:rPr>
    </w:lvl>
    <w:lvl w:ilvl="6" w:tplc="8CA28908">
      <w:start w:val="1"/>
      <w:numFmt w:val="bullet"/>
      <w:lvlText w:val=""/>
      <w:lvlJc w:val="left"/>
      <w:pPr>
        <w:ind w:left="5040" w:hanging="360"/>
      </w:pPr>
      <w:rPr>
        <w:rFonts w:ascii="Symbol" w:hAnsi="Symbol" w:hint="default"/>
      </w:rPr>
    </w:lvl>
    <w:lvl w:ilvl="7" w:tplc="989AFA14">
      <w:start w:val="1"/>
      <w:numFmt w:val="bullet"/>
      <w:lvlText w:val="o"/>
      <w:lvlJc w:val="left"/>
      <w:pPr>
        <w:ind w:left="5760" w:hanging="360"/>
      </w:pPr>
      <w:rPr>
        <w:rFonts w:ascii="Courier New" w:hAnsi="Courier New" w:hint="default"/>
      </w:rPr>
    </w:lvl>
    <w:lvl w:ilvl="8" w:tplc="8870D198">
      <w:start w:val="1"/>
      <w:numFmt w:val="bullet"/>
      <w:lvlText w:val=""/>
      <w:lvlJc w:val="left"/>
      <w:pPr>
        <w:ind w:left="6480" w:hanging="360"/>
      </w:pPr>
      <w:rPr>
        <w:rFonts w:ascii="Wingdings" w:hAnsi="Wingdings" w:hint="default"/>
      </w:rPr>
    </w:lvl>
  </w:abstractNum>
  <w:abstractNum w:abstractNumId="16" w15:restartNumberingAfterBreak="0">
    <w:nsid w:val="5B1FAE99"/>
    <w:multiLevelType w:val="hybridMultilevel"/>
    <w:tmpl w:val="D4EAA010"/>
    <w:lvl w:ilvl="0" w:tplc="237240B6">
      <w:start w:val="1"/>
      <w:numFmt w:val="bullet"/>
      <w:lvlText w:val=""/>
      <w:lvlJc w:val="left"/>
      <w:pPr>
        <w:ind w:left="720" w:hanging="360"/>
      </w:pPr>
      <w:rPr>
        <w:rFonts w:ascii="Symbol" w:hAnsi="Symbol" w:hint="default"/>
      </w:rPr>
    </w:lvl>
    <w:lvl w:ilvl="1" w:tplc="050259B6">
      <w:start w:val="1"/>
      <w:numFmt w:val="bullet"/>
      <w:lvlText w:val="o"/>
      <w:lvlJc w:val="left"/>
      <w:pPr>
        <w:ind w:left="1440" w:hanging="360"/>
      </w:pPr>
      <w:rPr>
        <w:rFonts w:ascii="Courier New" w:hAnsi="Courier New" w:hint="default"/>
      </w:rPr>
    </w:lvl>
    <w:lvl w:ilvl="2" w:tplc="0B4EEF88">
      <w:start w:val="1"/>
      <w:numFmt w:val="bullet"/>
      <w:lvlText w:val=""/>
      <w:lvlJc w:val="left"/>
      <w:pPr>
        <w:ind w:left="2160" w:hanging="360"/>
      </w:pPr>
      <w:rPr>
        <w:rFonts w:ascii="Wingdings" w:hAnsi="Wingdings" w:hint="default"/>
      </w:rPr>
    </w:lvl>
    <w:lvl w:ilvl="3" w:tplc="F68AA9EE">
      <w:start w:val="1"/>
      <w:numFmt w:val="bullet"/>
      <w:lvlText w:val=""/>
      <w:lvlJc w:val="left"/>
      <w:pPr>
        <w:ind w:left="2880" w:hanging="360"/>
      </w:pPr>
      <w:rPr>
        <w:rFonts w:ascii="Symbol" w:hAnsi="Symbol" w:hint="default"/>
      </w:rPr>
    </w:lvl>
    <w:lvl w:ilvl="4" w:tplc="BBBA69DE">
      <w:start w:val="1"/>
      <w:numFmt w:val="bullet"/>
      <w:lvlText w:val="o"/>
      <w:lvlJc w:val="left"/>
      <w:pPr>
        <w:ind w:left="3600" w:hanging="360"/>
      </w:pPr>
      <w:rPr>
        <w:rFonts w:ascii="Courier New" w:hAnsi="Courier New" w:hint="default"/>
      </w:rPr>
    </w:lvl>
    <w:lvl w:ilvl="5" w:tplc="D22A2E0C">
      <w:start w:val="1"/>
      <w:numFmt w:val="bullet"/>
      <w:lvlText w:val=""/>
      <w:lvlJc w:val="left"/>
      <w:pPr>
        <w:ind w:left="4320" w:hanging="360"/>
      </w:pPr>
      <w:rPr>
        <w:rFonts w:ascii="Wingdings" w:hAnsi="Wingdings" w:hint="default"/>
      </w:rPr>
    </w:lvl>
    <w:lvl w:ilvl="6" w:tplc="CF1637F8">
      <w:start w:val="1"/>
      <w:numFmt w:val="bullet"/>
      <w:lvlText w:val=""/>
      <w:lvlJc w:val="left"/>
      <w:pPr>
        <w:ind w:left="5040" w:hanging="360"/>
      </w:pPr>
      <w:rPr>
        <w:rFonts w:ascii="Symbol" w:hAnsi="Symbol" w:hint="default"/>
      </w:rPr>
    </w:lvl>
    <w:lvl w:ilvl="7" w:tplc="8FD8BBBA">
      <w:start w:val="1"/>
      <w:numFmt w:val="bullet"/>
      <w:lvlText w:val="o"/>
      <w:lvlJc w:val="left"/>
      <w:pPr>
        <w:ind w:left="5760" w:hanging="360"/>
      </w:pPr>
      <w:rPr>
        <w:rFonts w:ascii="Courier New" w:hAnsi="Courier New" w:hint="default"/>
      </w:rPr>
    </w:lvl>
    <w:lvl w:ilvl="8" w:tplc="6146232A">
      <w:start w:val="1"/>
      <w:numFmt w:val="bullet"/>
      <w:lvlText w:val=""/>
      <w:lvlJc w:val="left"/>
      <w:pPr>
        <w:ind w:left="6480" w:hanging="360"/>
      </w:pPr>
      <w:rPr>
        <w:rFonts w:ascii="Wingdings" w:hAnsi="Wingdings" w:hint="default"/>
      </w:rPr>
    </w:lvl>
  </w:abstractNum>
  <w:abstractNum w:abstractNumId="17" w15:restartNumberingAfterBreak="0">
    <w:nsid w:val="5BCE3362"/>
    <w:multiLevelType w:val="hybridMultilevel"/>
    <w:tmpl w:val="0B28375C"/>
    <w:lvl w:ilvl="0" w:tplc="FAD09018">
      <w:start w:val="1"/>
      <w:numFmt w:val="decimal"/>
      <w:lvlText w:val="(%1)"/>
      <w:lvlJc w:val="left"/>
      <w:pPr>
        <w:ind w:left="10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30BCFB"/>
    <w:multiLevelType w:val="hybridMultilevel"/>
    <w:tmpl w:val="0EBC7D92"/>
    <w:lvl w:ilvl="0" w:tplc="B56EB0D4">
      <w:start w:val="1"/>
      <w:numFmt w:val="bullet"/>
      <w:lvlText w:val=""/>
      <w:lvlJc w:val="left"/>
      <w:pPr>
        <w:ind w:left="720" w:hanging="360"/>
      </w:pPr>
      <w:rPr>
        <w:rFonts w:ascii="Symbol" w:hAnsi="Symbol" w:hint="default"/>
      </w:rPr>
    </w:lvl>
    <w:lvl w:ilvl="1" w:tplc="2B20B05E">
      <w:start w:val="1"/>
      <w:numFmt w:val="bullet"/>
      <w:lvlText w:val="o"/>
      <w:lvlJc w:val="left"/>
      <w:pPr>
        <w:ind w:left="1440" w:hanging="360"/>
      </w:pPr>
      <w:rPr>
        <w:rFonts w:ascii="Courier New" w:hAnsi="Courier New" w:hint="default"/>
      </w:rPr>
    </w:lvl>
    <w:lvl w:ilvl="2" w:tplc="B3A41C34">
      <w:start w:val="1"/>
      <w:numFmt w:val="bullet"/>
      <w:lvlText w:val=""/>
      <w:lvlJc w:val="left"/>
      <w:pPr>
        <w:ind w:left="2160" w:hanging="360"/>
      </w:pPr>
      <w:rPr>
        <w:rFonts w:ascii="Wingdings" w:hAnsi="Wingdings" w:hint="default"/>
      </w:rPr>
    </w:lvl>
    <w:lvl w:ilvl="3" w:tplc="4A064BFE">
      <w:start w:val="1"/>
      <w:numFmt w:val="bullet"/>
      <w:lvlText w:val=""/>
      <w:lvlJc w:val="left"/>
      <w:pPr>
        <w:ind w:left="2880" w:hanging="360"/>
      </w:pPr>
      <w:rPr>
        <w:rFonts w:ascii="Symbol" w:hAnsi="Symbol" w:hint="default"/>
      </w:rPr>
    </w:lvl>
    <w:lvl w:ilvl="4" w:tplc="CD90B784">
      <w:start w:val="1"/>
      <w:numFmt w:val="bullet"/>
      <w:lvlText w:val="o"/>
      <w:lvlJc w:val="left"/>
      <w:pPr>
        <w:ind w:left="3600" w:hanging="360"/>
      </w:pPr>
      <w:rPr>
        <w:rFonts w:ascii="Courier New" w:hAnsi="Courier New" w:hint="default"/>
      </w:rPr>
    </w:lvl>
    <w:lvl w:ilvl="5" w:tplc="E6B200FE">
      <w:start w:val="1"/>
      <w:numFmt w:val="bullet"/>
      <w:lvlText w:val=""/>
      <w:lvlJc w:val="left"/>
      <w:pPr>
        <w:ind w:left="4320" w:hanging="360"/>
      </w:pPr>
      <w:rPr>
        <w:rFonts w:ascii="Wingdings" w:hAnsi="Wingdings" w:hint="default"/>
      </w:rPr>
    </w:lvl>
    <w:lvl w:ilvl="6" w:tplc="4FF876C0">
      <w:start w:val="1"/>
      <w:numFmt w:val="bullet"/>
      <w:lvlText w:val=""/>
      <w:lvlJc w:val="left"/>
      <w:pPr>
        <w:ind w:left="5040" w:hanging="360"/>
      </w:pPr>
      <w:rPr>
        <w:rFonts w:ascii="Symbol" w:hAnsi="Symbol" w:hint="default"/>
      </w:rPr>
    </w:lvl>
    <w:lvl w:ilvl="7" w:tplc="1B248D24">
      <w:start w:val="1"/>
      <w:numFmt w:val="bullet"/>
      <w:lvlText w:val="o"/>
      <w:lvlJc w:val="left"/>
      <w:pPr>
        <w:ind w:left="5760" w:hanging="360"/>
      </w:pPr>
      <w:rPr>
        <w:rFonts w:ascii="Courier New" w:hAnsi="Courier New" w:hint="default"/>
      </w:rPr>
    </w:lvl>
    <w:lvl w:ilvl="8" w:tplc="0D6C3ACE">
      <w:start w:val="1"/>
      <w:numFmt w:val="bullet"/>
      <w:lvlText w:val=""/>
      <w:lvlJc w:val="left"/>
      <w:pPr>
        <w:ind w:left="6480" w:hanging="360"/>
      </w:pPr>
      <w:rPr>
        <w:rFonts w:ascii="Wingdings" w:hAnsi="Wingdings" w:hint="default"/>
      </w:rPr>
    </w:lvl>
  </w:abstractNum>
  <w:abstractNum w:abstractNumId="19" w15:restartNumberingAfterBreak="0">
    <w:nsid w:val="60E8027D"/>
    <w:multiLevelType w:val="hybridMultilevel"/>
    <w:tmpl w:val="795646FC"/>
    <w:lvl w:ilvl="0" w:tplc="A482B828">
      <w:start w:val="1"/>
      <w:numFmt w:val="decimal"/>
      <w:lvlText w:val="(%1)"/>
      <w:lvlJc w:val="left"/>
      <w:pPr>
        <w:ind w:left="724" w:hanging="384"/>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0" w15:restartNumberingAfterBreak="0">
    <w:nsid w:val="62292501"/>
    <w:multiLevelType w:val="hybridMultilevel"/>
    <w:tmpl w:val="6F14F008"/>
    <w:lvl w:ilvl="0" w:tplc="E9F87342">
      <w:start w:val="1"/>
      <w:numFmt w:val="bullet"/>
      <w:lvlText w:val=""/>
      <w:lvlJc w:val="left"/>
      <w:pPr>
        <w:ind w:left="720" w:hanging="360"/>
      </w:pPr>
      <w:rPr>
        <w:rFonts w:ascii="Symbol" w:hAnsi="Symbol" w:hint="default"/>
      </w:rPr>
    </w:lvl>
    <w:lvl w:ilvl="1" w:tplc="12C67950">
      <w:start w:val="1"/>
      <w:numFmt w:val="bullet"/>
      <w:lvlText w:val="o"/>
      <w:lvlJc w:val="left"/>
      <w:pPr>
        <w:ind w:left="1440" w:hanging="360"/>
      </w:pPr>
      <w:rPr>
        <w:rFonts w:ascii="Courier New" w:hAnsi="Courier New" w:hint="default"/>
      </w:rPr>
    </w:lvl>
    <w:lvl w:ilvl="2" w:tplc="88A80E46">
      <w:start w:val="1"/>
      <w:numFmt w:val="bullet"/>
      <w:lvlText w:val=""/>
      <w:lvlJc w:val="left"/>
      <w:pPr>
        <w:ind w:left="2160" w:hanging="360"/>
      </w:pPr>
      <w:rPr>
        <w:rFonts w:ascii="Symbol" w:hAnsi="Symbol" w:hint="default"/>
      </w:rPr>
    </w:lvl>
    <w:lvl w:ilvl="3" w:tplc="CFFEF714">
      <w:start w:val="1"/>
      <w:numFmt w:val="bullet"/>
      <w:lvlText w:val=""/>
      <w:lvlJc w:val="left"/>
      <w:pPr>
        <w:ind w:left="2880" w:hanging="360"/>
      </w:pPr>
      <w:rPr>
        <w:rFonts w:ascii="Symbol" w:hAnsi="Symbol" w:hint="default"/>
      </w:rPr>
    </w:lvl>
    <w:lvl w:ilvl="4" w:tplc="811EEF5A">
      <w:start w:val="1"/>
      <w:numFmt w:val="bullet"/>
      <w:lvlText w:val="o"/>
      <w:lvlJc w:val="left"/>
      <w:pPr>
        <w:ind w:left="3600" w:hanging="360"/>
      </w:pPr>
      <w:rPr>
        <w:rFonts w:ascii="Courier New" w:hAnsi="Courier New" w:hint="default"/>
      </w:rPr>
    </w:lvl>
    <w:lvl w:ilvl="5" w:tplc="FA8A41C0">
      <w:start w:val="1"/>
      <w:numFmt w:val="bullet"/>
      <w:lvlText w:val=""/>
      <w:lvlJc w:val="left"/>
      <w:pPr>
        <w:ind w:left="4320" w:hanging="360"/>
      </w:pPr>
      <w:rPr>
        <w:rFonts w:ascii="Wingdings" w:hAnsi="Wingdings" w:hint="default"/>
      </w:rPr>
    </w:lvl>
    <w:lvl w:ilvl="6" w:tplc="AFF82E2A">
      <w:start w:val="1"/>
      <w:numFmt w:val="bullet"/>
      <w:lvlText w:val=""/>
      <w:lvlJc w:val="left"/>
      <w:pPr>
        <w:ind w:left="5040" w:hanging="360"/>
      </w:pPr>
      <w:rPr>
        <w:rFonts w:ascii="Symbol" w:hAnsi="Symbol" w:hint="default"/>
      </w:rPr>
    </w:lvl>
    <w:lvl w:ilvl="7" w:tplc="8926D9CE">
      <w:start w:val="1"/>
      <w:numFmt w:val="bullet"/>
      <w:lvlText w:val="o"/>
      <w:lvlJc w:val="left"/>
      <w:pPr>
        <w:ind w:left="5760" w:hanging="360"/>
      </w:pPr>
      <w:rPr>
        <w:rFonts w:ascii="Courier New" w:hAnsi="Courier New" w:hint="default"/>
      </w:rPr>
    </w:lvl>
    <w:lvl w:ilvl="8" w:tplc="2F94CD40">
      <w:start w:val="1"/>
      <w:numFmt w:val="bullet"/>
      <w:lvlText w:val=""/>
      <w:lvlJc w:val="left"/>
      <w:pPr>
        <w:ind w:left="6480" w:hanging="360"/>
      </w:pPr>
      <w:rPr>
        <w:rFonts w:ascii="Wingdings" w:hAnsi="Wingdings" w:hint="default"/>
      </w:rPr>
    </w:lvl>
  </w:abstractNum>
  <w:abstractNum w:abstractNumId="21" w15:restartNumberingAfterBreak="0">
    <w:nsid w:val="69A35058"/>
    <w:multiLevelType w:val="hybridMultilevel"/>
    <w:tmpl w:val="B6F201E4"/>
    <w:lvl w:ilvl="0" w:tplc="2B84E84E">
      <w:start w:val="1"/>
      <w:numFmt w:val="decimal"/>
      <w:lvlText w:val="(%1)"/>
      <w:lvlJc w:val="left"/>
      <w:pPr>
        <w:ind w:left="724" w:hanging="384"/>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2" w15:restartNumberingAfterBreak="0">
    <w:nsid w:val="7042ED60"/>
    <w:multiLevelType w:val="hybridMultilevel"/>
    <w:tmpl w:val="6DEA445C"/>
    <w:lvl w:ilvl="0" w:tplc="FBCE91CC">
      <w:start w:val="1"/>
      <w:numFmt w:val="bullet"/>
      <w:lvlText w:val=""/>
      <w:lvlJc w:val="left"/>
      <w:pPr>
        <w:ind w:left="720" w:hanging="360"/>
      </w:pPr>
      <w:rPr>
        <w:rFonts w:ascii="Symbol" w:hAnsi="Symbol" w:hint="default"/>
      </w:rPr>
    </w:lvl>
    <w:lvl w:ilvl="1" w:tplc="A1861BF0">
      <w:start w:val="1"/>
      <w:numFmt w:val="bullet"/>
      <w:lvlText w:val="o"/>
      <w:lvlJc w:val="left"/>
      <w:pPr>
        <w:ind w:left="1440" w:hanging="360"/>
      </w:pPr>
      <w:rPr>
        <w:rFonts w:ascii="Courier New" w:hAnsi="Courier New" w:hint="default"/>
      </w:rPr>
    </w:lvl>
    <w:lvl w:ilvl="2" w:tplc="05D2C0BC">
      <w:start w:val="1"/>
      <w:numFmt w:val="bullet"/>
      <w:lvlText w:val=""/>
      <w:lvlJc w:val="left"/>
      <w:pPr>
        <w:ind w:left="2160" w:hanging="360"/>
      </w:pPr>
      <w:rPr>
        <w:rFonts w:ascii="Wingdings" w:hAnsi="Wingdings" w:hint="default"/>
      </w:rPr>
    </w:lvl>
    <w:lvl w:ilvl="3" w:tplc="8FFC6362">
      <w:start w:val="1"/>
      <w:numFmt w:val="bullet"/>
      <w:lvlText w:val=""/>
      <w:lvlJc w:val="left"/>
      <w:pPr>
        <w:ind w:left="2880" w:hanging="360"/>
      </w:pPr>
      <w:rPr>
        <w:rFonts w:ascii="Symbol" w:hAnsi="Symbol" w:hint="default"/>
      </w:rPr>
    </w:lvl>
    <w:lvl w:ilvl="4" w:tplc="3C3E88FC">
      <w:start w:val="1"/>
      <w:numFmt w:val="bullet"/>
      <w:lvlText w:val="o"/>
      <w:lvlJc w:val="left"/>
      <w:pPr>
        <w:ind w:left="3600" w:hanging="360"/>
      </w:pPr>
      <w:rPr>
        <w:rFonts w:ascii="Courier New" w:hAnsi="Courier New" w:hint="default"/>
      </w:rPr>
    </w:lvl>
    <w:lvl w:ilvl="5" w:tplc="961071AA">
      <w:start w:val="1"/>
      <w:numFmt w:val="bullet"/>
      <w:lvlText w:val=""/>
      <w:lvlJc w:val="left"/>
      <w:pPr>
        <w:ind w:left="4320" w:hanging="360"/>
      </w:pPr>
      <w:rPr>
        <w:rFonts w:ascii="Wingdings" w:hAnsi="Wingdings" w:hint="default"/>
      </w:rPr>
    </w:lvl>
    <w:lvl w:ilvl="6" w:tplc="2174B956">
      <w:start w:val="1"/>
      <w:numFmt w:val="bullet"/>
      <w:lvlText w:val=""/>
      <w:lvlJc w:val="left"/>
      <w:pPr>
        <w:ind w:left="5040" w:hanging="360"/>
      </w:pPr>
      <w:rPr>
        <w:rFonts w:ascii="Symbol" w:hAnsi="Symbol" w:hint="default"/>
      </w:rPr>
    </w:lvl>
    <w:lvl w:ilvl="7" w:tplc="9BD6E52E">
      <w:start w:val="1"/>
      <w:numFmt w:val="bullet"/>
      <w:lvlText w:val="o"/>
      <w:lvlJc w:val="left"/>
      <w:pPr>
        <w:ind w:left="5760" w:hanging="360"/>
      </w:pPr>
      <w:rPr>
        <w:rFonts w:ascii="Courier New" w:hAnsi="Courier New" w:hint="default"/>
      </w:rPr>
    </w:lvl>
    <w:lvl w:ilvl="8" w:tplc="C4DE1522">
      <w:start w:val="1"/>
      <w:numFmt w:val="bullet"/>
      <w:lvlText w:val=""/>
      <w:lvlJc w:val="left"/>
      <w:pPr>
        <w:ind w:left="6480" w:hanging="360"/>
      </w:pPr>
      <w:rPr>
        <w:rFonts w:ascii="Wingdings" w:hAnsi="Wingdings" w:hint="default"/>
      </w:rPr>
    </w:lvl>
  </w:abstractNum>
  <w:abstractNum w:abstractNumId="23" w15:restartNumberingAfterBreak="0">
    <w:nsid w:val="7CD01B16"/>
    <w:multiLevelType w:val="hybridMultilevel"/>
    <w:tmpl w:val="9A88BD7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387071262">
    <w:abstractNumId w:val="11"/>
  </w:num>
  <w:num w:numId="2" w16cid:durableId="1387413488">
    <w:abstractNumId w:val="15"/>
  </w:num>
  <w:num w:numId="3" w16cid:durableId="1655142736">
    <w:abstractNumId w:val="18"/>
  </w:num>
  <w:num w:numId="4" w16cid:durableId="1027221164">
    <w:abstractNumId w:val="16"/>
  </w:num>
  <w:num w:numId="5" w16cid:durableId="1325161923">
    <w:abstractNumId w:val="9"/>
  </w:num>
  <w:num w:numId="6" w16cid:durableId="849874043">
    <w:abstractNumId w:val="8"/>
  </w:num>
  <w:num w:numId="7" w16cid:durableId="771558878">
    <w:abstractNumId w:val="4"/>
  </w:num>
  <w:num w:numId="8" w16cid:durableId="328868330">
    <w:abstractNumId w:val="13"/>
  </w:num>
  <w:num w:numId="9" w16cid:durableId="1808281314">
    <w:abstractNumId w:val="22"/>
  </w:num>
  <w:num w:numId="10" w16cid:durableId="608240466">
    <w:abstractNumId w:val="12"/>
  </w:num>
  <w:num w:numId="11" w16cid:durableId="343171518">
    <w:abstractNumId w:val="6"/>
  </w:num>
  <w:num w:numId="12" w16cid:durableId="1504123731">
    <w:abstractNumId w:val="20"/>
  </w:num>
  <w:num w:numId="13" w16cid:durableId="1519655025">
    <w:abstractNumId w:val="2"/>
  </w:num>
  <w:num w:numId="14" w16cid:durableId="1953200215">
    <w:abstractNumId w:val="23"/>
  </w:num>
  <w:num w:numId="15" w16cid:durableId="2136292166">
    <w:abstractNumId w:val="0"/>
  </w:num>
  <w:num w:numId="16" w16cid:durableId="1136803312">
    <w:abstractNumId w:val="7"/>
  </w:num>
  <w:num w:numId="17" w16cid:durableId="851529418">
    <w:abstractNumId w:val="17"/>
  </w:num>
  <w:num w:numId="18" w16cid:durableId="1087655094">
    <w:abstractNumId w:val="21"/>
  </w:num>
  <w:num w:numId="19" w16cid:durableId="836068966">
    <w:abstractNumId w:val="3"/>
  </w:num>
  <w:num w:numId="20" w16cid:durableId="21514109">
    <w:abstractNumId w:val="19"/>
  </w:num>
  <w:num w:numId="21" w16cid:durableId="466167607">
    <w:abstractNumId w:val="5"/>
  </w:num>
  <w:num w:numId="22" w16cid:durableId="337346245">
    <w:abstractNumId w:val="14"/>
  </w:num>
  <w:num w:numId="23" w16cid:durableId="1399983125">
    <w:abstractNumId w:val="10"/>
  </w:num>
  <w:num w:numId="24" w16cid:durableId="756368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CBF"/>
    <w:rsid w:val="00000883"/>
    <w:rsid w:val="00000FE9"/>
    <w:rsid w:val="0000169B"/>
    <w:rsid w:val="00002CBE"/>
    <w:rsid w:val="000034AD"/>
    <w:rsid w:val="00005014"/>
    <w:rsid w:val="00006AF0"/>
    <w:rsid w:val="000100B5"/>
    <w:rsid w:val="00010EB8"/>
    <w:rsid w:val="0001145F"/>
    <w:rsid w:val="0001514F"/>
    <w:rsid w:val="00016D36"/>
    <w:rsid w:val="00021280"/>
    <w:rsid w:val="000213B0"/>
    <w:rsid w:val="0002235F"/>
    <w:rsid w:val="00023404"/>
    <w:rsid w:val="00023605"/>
    <w:rsid w:val="000251D4"/>
    <w:rsid w:val="000274C9"/>
    <w:rsid w:val="00027A63"/>
    <w:rsid w:val="0003026B"/>
    <w:rsid w:val="000336F0"/>
    <w:rsid w:val="000336FB"/>
    <w:rsid w:val="00033964"/>
    <w:rsid w:val="000340E5"/>
    <w:rsid w:val="0003439F"/>
    <w:rsid w:val="000348ED"/>
    <w:rsid w:val="0003730C"/>
    <w:rsid w:val="0003770F"/>
    <w:rsid w:val="00040177"/>
    <w:rsid w:val="00040C56"/>
    <w:rsid w:val="00041486"/>
    <w:rsid w:val="0004344F"/>
    <w:rsid w:val="00043C66"/>
    <w:rsid w:val="000450A4"/>
    <w:rsid w:val="00046C90"/>
    <w:rsid w:val="00047A66"/>
    <w:rsid w:val="00050259"/>
    <w:rsid w:val="0005093F"/>
    <w:rsid w:val="000534D1"/>
    <w:rsid w:val="00054708"/>
    <w:rsid w:val="00055889"/>
    <w:rsid w:val="000571CE"/>
    <w:rsid w:val="000573EB"/>
    <w:rsid w:val="00061B9F"/>
    <w:rsid w:val="0006323D"/>
    <w:rsid w:val="000637C7"/>
    <w:rsid w:val="00064164"/>
    <w:rsid w:val="00065C8E"/>
    <w:rsid w:val="00066E38"/>
    <w:rsid w:val="000703D2"/>
    <w:rsid w:val="000707B1"/>
    <w:rsid w:val="00070ACF"/>
    <w:rsid w:val="0007272A"/>
    <w:rsid w:val="00074900"/>
    <w:rsid w:val="000757EE"/>
    <w:rsid w:val="00077002"/>
    <w:rsid w:val="00077CA1"/>
    <w:rsid w:val="00077E64"/>
    <w:rsid w:val="00080709"/>
    <w:rsid w:val="00081143"/>
    <w:rsid w:val="00082B97"/>
    <w:rsid w:val="000841A5"/>
    <w:rsid w:val="000843AF"/>
    <w:rsid w:val="000848EE"/>
    <w:rsid w:val="000857DA"/>
    <w:rsid w:val="00086582"/>
    <w:rsid w:val="00086794"/>
    <w:rsid w:val="000873AD"/>
    <w:rsid w:val="00087638"/>
    <w:rsid w:val="00090ADA"/>
    <w:rsid w:val="00090BB2"/>
    <w:rsid w:val="00090DD8"/>
    <w:rsid w:val="000915BC"/>
    <w:rsid w:val="0009293D"/>
    <w:rsid w:val="00092DFE"/>
    <w:rsid w:val="00094ECF"/>
    <w:rsid w:val="00095782"/>
    <w:rsid w:val="000960E0"/>
    <w:rsid w:val="00096A2E"/>
    <w:rsid w:val="00096AF3"/>
    <w:rsid w:val="00097851"/>
    <w:rsid w:val="00097C4B"/>
    <w:rsid w:val="000A00B5"/>
    <w:rsid w:val="000A10E1"/>
    <w:rsid w:val="000A2FA8"/>
    <w:rsid w:val="000A3F01"/>
    <w:rsid w:val="000A4033"/>
    <w:rsid w:val="000A4391"/>
    <w:rsid w:val="000A44C6"/>
    <w:rsid w:val="000A559D"/>
    <w:rsid w:val="000A7643"/>
    <w:rsid w:val="000A7EE5"/>
    <w:rsid w:val="000B0097"/>
    <w:rsid w:val="000B3763"/>
    <w:rsid w:val="000B78C3"/>
    <w:rsid w:val="000C08DF"/>
    <w:rsid w:val="000C0CE0"/>
    <w:rsid w:val="000C249E"/>
    <w:rsid w:val="000C3264"/>
    <w:rsid w:val="000C3947"/>
    <w:rsid w:val="000C4515"/>
    <w:rsid w:val="000C533C"/>
    <w:rsid w:val="000C6C85"/>
    <w:rsid w:val="000C78B3"/>
    <w:rsid w:val="000C78F5"/>
    <w:rsid w:val="000D1625"/>
    <w:rsid w:val="000D6006"/>
    <w:rsid w:val="000D6849"/>
    <w:rsid w:val="000E1DCF"/>
    <w:rsid w:val="000E20FA"/>
    <w:rsid w:val="000E22EB"/>
    <w:rsid w:val="000E34AB"/>
    <w:rsid w:val="000E3AA6"/>
    <w:rsid w:val="000E425F"/>
    <w:rsid w:val="000E4F28"/>
    <w:rsid w:val="000E532D"/>
    <w:rsid w:val="000E6362"/>
    <w:rsid w:val="000E704D"/>
    <w:rsid w:val="000F0767"/>
    <w:rsid w:val="000F1A80"/>
    <w:rsid w:val="000F23AB"/>
    <w:rsid w:val="000F34DB"/>
    <w:rsid w:val="000F48F8"/>
    <w:rsid w:val="000F56F8"/>
    <w:rsid w:val="000F5B1F"/>
    <w:rsid w:val="000F64E6"/>
    <w:rsid w:val="000F6F40"/>
    <w:rsid w:val="001003EB"/>
    <w:rsid w:val="0010054C"/>
    <w:rsid w:val="00100BDD"/>
    <w:rsid w:val="00100BEE"/>
    <w:rsid w:val="00102065"/>
    <w:rsid w:val="00102185"/>
    <w:rsid w:val="00102B1F"/>
    <w:rsid w:val="0010358E"/>
    <w:rsid w:val="00103A6F"/>
    <w:rsid w:val="0010473A"/>
    <w:rsid w:val="00106861"/>
    <w:rsid w:val="00107085"/>
    <w:rsid w:val="00110213"/>
    <w:rsid w:val="001112A6"/>
    <w:rsid w:val="00112A85"/>
    <w:rsid w:val="00112C20"/>
    <w:rsid w:val="00112EA3"/>
    <w:rsid w:val="001133DB"/>
    <w:rsid w:val="00113A2A"/>
    <w:rsid w:val="00114BBB"/>
    <w:rsid w:val="00115E8D"/>
    <w:rsid w:val="001167BC"/>
    <w:rsid w:val="00117CE9"/>
    <w:rsid w:val="001208AB"/>
    <w:rsid w:val="00122474"/>
    <w:rsid w:val="00122E3E"/>
    <w:rsid w:val="00122FD1"/>
    <w:rsid w:val="001238D1"/>
    <w:rsid w:val="0012403D"/>
    <w:rsid w:val="00126993"/>
    <w:rsid w:val="001269F6"/>
    <w:rsid w:val="00126BD7"/>
    <w:rsid w:val="001302F4"/>
    <w:rsid w:val="0013149A"/>
    <w:rsid w:val="0013232B"/>
    <w:rsid w:val="00144046"/>
    <w:rsid w:val="00144065"/>
    <w:rsid w:val="001440BB"/>
    <w:rsid w:val="001443D5"/>
    <w:rsid w:val="0014544B"/>
    <w:rsid w:val="00145A5F"/>
    <w:rsid w:val="00147325"/>
    <w:rsid w:val="001477CB"/>
    <w:rsid w:val="00147C05"/>
    <w:rsid w:val="0015129C"/>
    <w:rsid w:val="00153731"/>
    <w:rsid w:val="00153CF1"/>
    <w:rsid w:val="001540FF"/>
    <w:rsid w:val="0015749C"/>
    <w:rsid w:val="00160154"/>
    <w:rsid w:val="001619CD"/>
    <w:rsid w:val="00161C47"/>
    <w:rsid w:val="00162190"/>
    <w:rsid w:val="00162EEA"/>
    <w:rsid w:val="00165427"/>
    <w:rsid w:val="001656B6"/>
    <w:rsid w:val="001659C2"/>
    <w:rsid w:val="00166400"/>
    <w:rsid w:val="00166965"/>
    <w:rsid w:val="001672F5"/>
    <w:rsid w:val="001706B1"/>
    <w:rsid w:val="001712E8"/>
    <w:rsid w:val="00171F1D"/>
    <w:rsid w:val="001733CA"/>
    <w:rsid w:val="001743BC"/>
    <w:rsid w:val="00175E8B"/>
    <w:rsid w:val="00176274"/>
    <w:rsid w:val="00176B1A"/>
    <w:rsid w:val="00177E2D"/>
    <w:rsid w:val="0018137C"/>
    <w:rsid w:val="001829BC"/>
    <w:rsid w:val="0018368F"/>
    <w:rsid w:val="00183C9A"/>
    <w:rsid w:val="0019042F"/>
    <w:rsid w:val="0019128D"/>
    <w:rsid w:val="00192872"/>
    <w:rsid w:val="001933C1"/>
    <w:rsid w:val="0019349B"/>
    <w:rsid w:val="00193B51"/>
    <w:rsid w:val="001954DE"/>
    <w:rsid w:val="00196F1A"/>
    <w:rsid w:val="001A1712"/>
    <w:rsid w:val="001A18ED"/>
    <w:rsid w:val="001A30EB"/>
    <w:rsid w:val="001A349B"/>
    <w:rsid w:val="001A5D79"/>
    <w:rsid w:val="001A64DE"/>
    <w:rsid w:val="001A6728"/>
    <w:rsid w:val="001A7491"/>
    <w:rsid w:val="001B3DD7"/>
    <w:rsid w:val="001B6194"/>
    <w:rsid w:val="001B6C9E"/>
    <w:rsid w:val="001C1874"/>
    <w:rsid w:val="001C1D3D"/>
    <w:rsid w:val="001C2734"/>
    <w:rsid w:val="001C4F4C"/>
    <w:rsid w:val="001D0790"/>
    <w:rsid w:val="001D3017"/>
    <w:rsid w:val="001D3EEE"/>
    <w:rsid w:val="001D6D18"/>
    <w:rsid w:val="001D7BC2"/>
    <w:rsid w:val="001D7C3D"/>
    <w:rsid w:val="001E0FD3"/>
    <w:rsid w:val="001E421C"/>
    <w:rsid w:val="001E486A"/>
    <w:rsid w:val="001E61E8"/>
    <w:rsid w:val="001E7311"/>
    <w:rsid w:val="001F04D3"/>
    <w:rsid w:val="001F0BBF"/>
    <w:rsid w:val="001F2D69"/>
    <w:rsid w:val="001F2F9E"/>
    <w:rsid w:val="001F55F9"/>
    <w:rsid w:val="001F56A5"/>
    <w:rsid w:val="001F5AC1"/>
    <w:rsid w:val="001F5FD3"/>
    <w:rsid w:val="001F628D"/>
    <w:rsid w:val="00201120"/>
    <w:rsid w:val="00201F7D"/>
    <w:rsid w:val="00203375"/>
    <w:rsid w:val="00204E80"/>
    <w:rsid w:val="00205586"/>
    <w:rsid w:val="00206EB7"/>
    <w:rsid w:val="00210385"/>
    <w:rsid w:val="0021043D"/>
    <w:rsid w:val="00212AAE"/>
    <w:rsid w:val="00214177"/>
    <w:rsid w:val="00214FD2"/>
    <w:rsid w:val="00217DC4"/>
    <w:rsid w:val="0022610A"/>
    <w:rsid w:val="00226428"/>
    <w:rsid w:val="00226760"/>
    <w:rsid w:val="002301E2"/>
    <w:rsid w:val="002322C2"/>
    <w:rsid w:val="002323EB"/>
    <w:rsid w:val="00233DAC"/>
    <w:rsid w:val="00235455"/>
    <w:rsid w:val="00236EE2"/>
    <w:rsid w:val="002400C2"/>
    <w:rsid w:val="0024067B"/>
    <w:rsid w:val="002410C1"/>
    <w:rsid w:val="002439C4"/>
    <w:rsid w:val="00244838"/>
    <w:rsid w:val="00244E9D"/>
    <w:rsid w:val="00246C7F"/>
    <w:rsid w:val="002473BC"/>
    <w:rsid w:val="002479D5"/>
    <w:rsid w:val="00247C5B"/>
    <w:rsid w:val="002502C2"/>
    <w:rsid w:val="00250CD8"/>
    <w:rsid w:val="00251386"/>
    <w:rsid w:val="002515FE"/>
    <w:rsid w:val="00261F49"/>
    <w:rsid w:val="00263BB7"/>
    <w:rsid w:val="00263CA6"/>
    <w:rsid w:val="00263CB8"/>
    <w:rsid w:val="002643F9"/>
    <w:rsid w:val="00264C0B"/>
    <w:rsid w:val="00265887"/>
    <w:rsid w:val="0026592C"/>
    <w:rsid w:val="002704C0"/>
    <w:rsid w:val="002711A3"/>
    <w:rsid w:val="002717B5"/>
    <w:rsid w:val="00273816"/>
    <w:rsid w:val="00275634"/>
    <w:rsid w:val="0028038C"/>
    <w:rsid w:val="002816D5"/>
    <w:rsid w:val="002867EF"/>
    <w:rsid w:val="002907CB"/>
    <w:rsid w:val="00292059"/>
    <w:rsid w:val="0029274E"/>
    <w:rsid w:val="00293727"/>
    <w:rsid w:val="002976C5"/>
    <w:rsid w:val="002A21C1"/>
    <w:rsid w:val="002A3889"/>
    <w:rsid w:val="002A3E37"/>
    <w:rsid w:val="002A4DB4"/>
    <w:rsid w:val="002A5823"/>
    <w:rsid w:val="002A5911"/>
    <w:rsid w:val="002A6550"/>
    <w:rsid w:val="002B1C51"/>
    <w:rsid w:val="002B2A81"/>
    <w:rsid w:val="002B4331"/>
    <w:rsid w:val="002B5097"/>
    <w:rsid w:val="002B551D"/>
    <w:rsid w:val="002B65E4"/>
    <w:rsid w:val="002B69DF"/>
    <w:rsid w:val="002B6AEA"/>
    <w:rsid w:val="002B6F67"/>
    <w:rsid w:val="002B79F2"/>
    <w:rsid w:val="002B7A75"/>
    <w:rsid w:val="002C0690"/>
    <w:rsid w:val="002C425A"/>
    <w:rsid w:val="002C4AB7"/>
    <w:rsid w:val="002C51E3"/>
    <w:rsid w:val="002C5BD2"/>
    <w:rsid w:val="002C5BE6"/>
    <w:rsid w:val="002C659B"/>
    <w:rsid w:val="002C6A52"/>
    <w:rsid w:val="002D1E14"/>
    <w:rsid w:val="002D73B9"/>
    <w:rsid w:val="002E086E"/>
    <w:rsid w:val="002E1226"/>
    <w:rsid w:val="002E1A06"/>
    <w:rsid w:val="002E1A57"/>
    <w:rsid w:val="002E25C2"/>
    <w:rsid w:val="002E4D21"/>
    <w:rsid w:val="002E4DB2"/>
    <w:rsid w:val="002E5F64"/>
    <w:rsid w:val="002E7483"/>
    <w:rsid w:val="002F010F"/>
    <w:rsid w:val="002F053E"/>
    <w:rsid w:val="002F35E3"/>
    <w:rsid w:val="002F4C85"/>
    <w:rsid w:val="002F5AC1"/>
    <w:rsid w:val="002F7F4D"/>
    <w:rsid w:val="00300251"/>
    <w:rsid w:val="00302DAB"/>
    <w:rsid w:val="00304696"/>
    <w:rsid w:val="00312771"/>
    <w:rsid w:val="00312AC6"/>
    <w:rsid w:val="00312CDC"/>
    <w:rsid w:val="00314CD4"/>
    <w:rsid w:val="0031668D"/>
    <w:rsid w:val="00317495"/>
    <w:rsid w:val="0031759B"/>
    <w:rsid w:val="00317CE7"/>
    <w:rsid w:val="00320F37"/>
    <w:rsid w:val="00323805"/>
    <w:rsid w:val="00323954"/>
    <w:rsid w:val="00323B98"/>
    <w:rsid w:val="00324437"/>
    <w:rsid w:val="00325466"/>
    <w:rsid w:val="00325D5E"/>
    <w:rsid w:val="003311B4"/>
    <w:rsid w:val="0033227C"/>
    <w:rsid w:val="003344BF"/>
    <w:rsid w:val="00335705"/>
    <w:rsid w:val="00335AFA"/>
    <w:rsid w:val="003373DA"/>
    <w:rsid w:val="00337C5E"/>
    <w:rsid w:val="00341545"/>
    <w:rsid w:val="0034484D"/>
    <w:rsid w:val="00344BA7"/>
    <w:rsid w:val="00345158"/>
    <w:rsid w:val="00350AB0"/>
    <w:rsid w:val="00351D3E"/>
    <w:rsid w:val="0035200E"/>
    <w:rsid w:val="00363374"/>
    <w:rsid w:val="00363BFC"/>
    <w:rsid w:val="00364AE2"/>
    <w:rsid w:val="00364BA7"/>
    <w:rsid w:val="00364E66"/>
    <w:rsid w:val="0036730C"/>
    <w:rsid w:val="00367EEF"/>
    <w:rsid w:val="00370E95"/>
    <w:rsid w:val="00372017"/>
    <w:rsid w:val="00373986"/>
    <w:rsid w:val="00373F33"/>
    <w:rsid w:val="00374FE4"/>
    <w:rsid w:val="00376CAB"/>
    <w:rsid w:val="00380A2E"/>
    <w:rsid w:val="003855CC"/>
    <w:rsid w:val="003902F1"/>
    <w:rsid w:val="00391276"/>
    <w:rsid w:val="00392595"/>
    <w:rsid w:val="00392AFA"/>
    <w:rsid w:val="003930C0"/>
    <w:rsid w:val="00394A40"/>
    <w:rsid w:val="003A1A9B"/>
    <w:rsid w:val="003A2AD6"/>
    <w:rsid w:val="003A30FC"/>
    <w:rsid w:val="003A39D5"/>
    <w:rsid w:val="003A497E"/>
    <w:rsid w:val="003A5B8C"/>
    <w:rsid w:val="003B0DBF"/>
    <w:rsid w:val="003B130D"/>
    <w:rsid w:val="003B27FC"/>
    <w:rsid w:val="003B3231"/>
    <w:rsid w:val="003B37E0"/>
    <w:rsid w:val="003B3C76"/>
    <w:rsid w:val="003B424D"/>
    <w:rsid w:val="003B425B"/>
    <w:rsid w:val="003B6716"/>
    <w:rsid w:val="003B6741"/>
    <w:rsid w:val="003C2744"/>
    <w:rsid w:val="003C443D"/>
    <w:rsid w:val="003C689C"/>
    <w:rsid w:val="003C6AFB"/>
    <w:rsid w:val="003D10F4"/>
    <w:rsid w:val="003D1473"/>
    <w:rsid w:val="003D2543"/>
    <w:rsid w:val="003D3E1B"/>
    <w:rsid w:val="003D40B0"/>
    <w:rsid w:val="003D4333"/>
    <w:rsid w:val="003D4636"/>
    <w:rsid w:val="003D6036"/>
    <w:rsid w:val="003D6DE3"/>
    <w:rsid w:val="003D75BA"/>
    <w:rsid w:val="003D77D7"/>
    <w:rsid w:val="003E1297"/>
    <w:rsid w:val="003E1972"/>
    <w:rsid w:val="003E2488"/>
    <w:rsid w:val="003E330F"/>
    <w:rsid w:val="003E715C"/>
    <w:rsid w:val="003E78D4"/>
    <w:rsid w:val="003E7A1B"/>
    <w:rsid w:val="003F5317"/>
    <w:rsid w:val="003F59CC"/>
    <w:rsid w:val="003F708E"/>
    <w:rsid w:val="003F7314"/>
    <w:rsid w:val="003F7DBC"/>
    <w:rsid w:val="003F7E4E"/>
    <w:rsid w:val="00401432"/>
    <w:rsid w:val="0040411C"/>
    <w:rsid w:val="00407772"/>
    <w:rsid w:val="00407925"/>
    <w:rsid w:val="0041053B"/>
    <w:rsid w:val="00410894"/>
    <w:rsid w:val="004113D5"/>
    <w:rsid w:val="004129CC"/>
    <w:rsid w:val="00412FF2"/>
    <w:rsid w:val="0041476F"/>
    <w:rsid w:val="00415022"/>
    <w:rsid w:val="00415F3B"/>
    <w:rsid w:val="00416DF4"/>
    <w:rsid w:val="004176DC"/>
    <w:rsid w:val="00417DA8"/>
    <w:rsid w:val="004225F1"/>
    <w:rsid w:val="004228CF"/>
    <w:rsid w:val="00422A5B"/>
    <w:rsid w:val="00423DFD"/>
    <w:rsid w:val="0042586B"/>
    <w:rsid w:val="00426A83"/>
    <w:rsid w:val="004274B8"/>
    <w:rsid w:val="00427585"/>
    <w:rsid w:val="00432193"/>
    <w:rsid w:val="004333D4"/>
    <w:rsid w:val="004334C7"/>
    <w:rsid w:val="00435E7B"/>
    <w:rsid w:val="00437848"/>
    <w:rsid w:val="00437850"/>
    <w:rsid w:val="004406B0"/>
    <w:rsid w:val="00441531"/>
    <w:rsid w:val="004429F9"/>
    <w:rsid w:val="0044592F"/>
    <w:rsid w:val="00445AC1"/>
    <w:rsid w:val="00445CE8"/>
    <w:rsid w:val="004508C3"/>
    <w:rsid w:val="00450FB1"/>
    <w:rsid w:val="00451D74"/>
    <w:rsid w:val="0045245F"/>
    <w:rsid w:val="0045259F"/>
    <w:rsid w:val="00452F71"/>
    <w:rsid w:val="004538B7"/>
    <w:rsid w:val="00453CA7"/>
    <w:rsid w:val="00457FC8"/>
    <w:rsid w:val="00460ED5"/>
    <w:rsid w:val="0046111D"/>
    <w:rsid w:val="00461A69"/>
    <w:rsid w:val="00461B38"/>
    <w:rsid w:val="00461E91"/>
    <w:rsid w:val="00462799"/>
    <w:rsid w:val="00463892"/>
    <w:rsid w:val="00464601"/>
    <w:rsid w:val="00465CAE"/>
    <w:rsid w:val="00466128"/>
    <w:rsid w:val="00471E8A"/>
    <w:rsid w:val="0047260B"/>
    <w:rsid w:val="00473104"/>
    <w:rsid w:val="00475178"/>
    <w:rsid w:val="00477562"/>
    <w:rsid w:val="00480F79"/>
    <w:rsid w:val="00481196"/>
    <w:rsid w:val="00482257"/>
    <w:rsid w:val="00482EBC"/>
    <w:rsid w:val="00486806"/>
    <w:rsid w:val="004906A3"/>
    <w:rsid w:val="00491823"/>
    <w:rsid w:val="00493603"/>
    <w:rsid w:val="00494E65"/>
    <w:rsid w:val="004A097B"/>
    <w:rsid w:val="004A0F27"/>
    <w:rsid w:val="004A102F"/>
    <w:rsid w:val="004A217B"/>
    <w:rsid w:val="004A31AF"/>
    <w:rsid w:val="004A3E79"/>
    <w:rsid w:val="004A5E47"/>
    <w:rsid w:val="004A662C"/>
    <w:rsid w:val="004A7C8F"/>
    <w:rsid w:val="004B0035"/>
    <w:rsid w:val="004B0390"/>
    <w:rsid w:val="004B0933"/>
    <w:rsid w:val="004B189A"/>
    <w:rsid w:val="004B3515"/>
    <w:rsid w:val="004B3950"/>
    <w:rsid w:val="004B4FC5"/>
    <w:rsid w:val="004B509C"/>
    <w:rsid w:val="004B571F"/>
    <w:rsid w:val="004B58AE"/>
    <w:rsid w:val="004B5C7B"/>
    <w:rsid w:val="004B5C89"/>
    <w:rsid w:val="004B6055"/>
    <w:rsid w:val="004B64E0"/>
    <w:rsid w:val="004B7894"/>
    <w:rsid w:val="004C0FCD"/>
    <w:rsid w:val="004C216C"/>
    <w:rsid w:val="004C25D3"/>
    <w:rsid w:val="004C2EAD"/>
    <w:rsid w:val="004C30E9"/>
    <w:rsid w:val="004C34A5"/>
    <w:rsid w:val="004C7609"/>
    <w:rsid w:val="004D0C4E"/>
    <w:rsid w:val="004D1B0A"/>
    <w:rsid w:val="004D22D2"/>
    <w:rsid w:val="004D316C"/>
    <w:rsid w:val="004D3C42"/>
    <w:rsid w:val="004D53E8"/>
    <w:rsid w:val="004D5DEB"/>
    <w:rsid w:val="004E3919"/>
    <w:rsid w:val="004E4922"/>
    <w:rsid w:val="004E6089"/>
    <w:rsid w:val="004E63F8"/>
    <w:rsid w:val="004E70BB"/>
    <w:rsid w:val="004E778D"/>
    <w:rsid w:val="004F03D1"/>
    <w:rsid w:val="004F335E"/>
    <w:rsid w:val="004F3B76"/>
    <w:rsid w:val="004F4262"/>
    <w:rsid w:val="004F4F9F"/>
    <w:rsid w:val="004F60E6"/>
    <w:rsid w:val="004F7683"/>
    <w:rsid w:val="005005AE"/>
    <w:rsid w:val="0050096F"/>
    <w:rsid w:val="005015E2"/>
    <w:rsid w:val="00502059"/>
    <w:rsid w:val="00502EAF"/>
    <w:rsid w:val="0050470A"/>
    <w:rsid w:val="00506695"/>
    <w:rsid w:val="00511357"/>
    <w:rsid w:val="005118F8"/>
    <w:rsid w:val="00512004"/>
    <w:rsid w:val="005128D1"/>
    <w:rsid w:val="00515F70"/>
    <w:rsid w:val="005165C4"/>
    <w:rsid w:val="00516C11"/>
    <w:rsid w:val="00521AFF"/>
    <w:rsid w:val="00522B97"/>
    <w:rsid w:val="005243B0"/>
    <w:rsid w:val="00524F2F"/>
    <w:rsid w:val="005254D1"/>
    <w:rsid w:val="00525EA6"/>
    <w:rsid w:val="0053071C"/>
    <w:rsid w:val="00530D17"/>
    <w:rsid w:val="005312DF"/>
    <w:rsid w:val="00533895"/>
    <w:rsid w:val="00533ABB"/>
    <w:rsid w:val="0053418D"/>
    <w:rsid w:val="005344E0"/>
    <w:rsid w:val="005346E9"/>
    <w:rsid w:val="0053470E"/>
    <w:rsid w:val="00535036"/>
    <w:rsid w:val="00535B46"/>
    <w:rsid w:val="00542C85"/>
    <w:rsid w:val="005461B2"/>
    <w:rsid w:val="00547565"/>
    <w:rsid w:val="005476D1"/>
    <w:rsid w:val="00547A8F"/>
    <w:rsid w:val="005519BD"/>
    <w:rsid w:val="005534FF"/>
    <w:rsid w:val="00553C8F"/>
    <w:rsid w:val="00555F32"/>
    <w:rsid w:val="00561961"/>
    <w:rsid w:val="00562DF2"/>
    <w:rsid w:val="00565068"/>
    <w:rsid w:val="00566986"/>
    <w:rsid w:val="00567BBB"/>
    <w:rsid w:val="00567CA5"/>
    <w:rsid w:val="00570F2C"/>
    <w:rsid w:val="005723B3"/>
    <w:rsid w:val="005739E1"/>
    <w:rsid w:val="00575A09"/>
    <w:rsid w:val="00580826"/>
    <w:rsid w:val="00580C8A"/>
    <w:rsid w:val="00581253"/>
    <w:rsid w:val="00581469"/>
    <w:rsid w:val="005823E0"/>
    <w:rsid w:val="00582C55"/>
    <w:rsid w:val="00583ED6"/>
    <w:rsid w:val="00585F6C"/>
    <w:rsid w:val="00587B98"/>
    <w:rsid w:val="00587FCE"/>
    <w:rsid w:val="00590EE0"/>
    <w:rsid w:val="005923ED"/>
    <w:rsid w:val="00594136"/>
    <w:rsid w:val="005949FF"/>
    <w:rsid w:val="005967C2"/>
    <w:rsid w:val="00596981"/>
    <w:rsid w:val="005970E0"/>
    <w:rsid w:val="00597BA4"/>
    <w:rsid w:val="005A0EEA"/>
    <w:rsid w:val="005A1A02"/>
    <w:rsid w:val="005A1B77"/>
    <w:rsid w:val="005A2E4F"/>
    <w:rsid w:val="005A59B8"/>
    <w:rsid w:val="005B0D29"/>
    <w:rsid w:val="005B11FD"/>
    <w:rsid w:val="005B20BE"/>
    <w:rsid w:val="005B298C"/>
    <w:rsid w:val="005B2F8B"/>
    <w:rsid w:val="005B4AE3"/>
    <w:rsid w:val="005B707A"/>
    <w:rsid w:val="005C20FE"/>
    <w:rsid w:val="005C26DA"/>
    <w:rsid w:val="005C2E01"/>
    <w:rsid w:val="005C3FB2"/>
    <w:rsid w:val="005C4655"/>
    <w:rsid w:val="005C653C"/>
    <w:rsid w:val="005C67CB"/>
    <w:rsid w:val="005D0539"/>
    <w:rsid w:val="005D14A0"/>
    <w:rsid w:val="005D1C37"/>
    <w:rsid w:val="005D4E73"/>
    <w:rsid w:val="005D53CF"/>
    <w:rsid w:val="005D5F18"/>
    <w:rsid w:val="005D6299"/>
    <w:rsid w:val="005E0153"/>
    <w:rsid w:val="005E02EC"/>
    <w:rsid w:val="005E0772"/>
    <w:rsid w:val="005E2354"/>
    <w:rsid w:val="005E2B83"/>
    <w:rsid w:val="005E4C08"/>
    <w:rsid w:val="005E5B8F"/>
    <w:rsid w:val="005E6A24"/>
    <w:rsid w:val="005F0A19"/>
    <w:rsid w:val="005F0BCC"/>
    <w:rsid w:val="005F12D1"/>
    <w:rsid w:val="005F302F"/>
    <w:rsid w:val="005F3FB3"/>
    <w:rsid w:val="005F4352"/>
    <w:rsid w:val="005F4BCF"/>
    <w:rsid w:val="005F4F6E"/>
    <w:rsid w:val="005F5F09"/>
    <w:rsid w:val="005F6B37"/>
    <w:rsid w:val="005F7A0D"/>
    <w:rsid w:val="00600423"/>
    <w:rsid w:val="00601193"/>
    <w:rsid w:val="00604FF5"/>
    <w:rsid w:val="00606447"/>
    <w:rsid w:val="00612688"/>
    <w:rsid w:val="00613BB1"/>
    <w:rsid w:val="00613BCE"/>
    <w:rsid w:val="006148E3"/>
    <w:rsid w:val="00614AD6"/>
    <w:rsid w:val="00616873"/>
    <w:rsid w:val="00616D9F"/>
    <w:rsid w:val="00620FBE"/>
    <w:rsid w:val="00622B15"/>
    <w:rsid w:val="00624131"/>
    <w:rsid w:val="006268B7"/>
    <w:rsid w:val="00626B02"/>
    <w:rsid w:val="006271CD"/>
    <w:rsid w:val="006307C9"/>
    <w:rsid w:val="00631F61"/>
    <w:rsid w:val="00634231"/>
    <w:rsid w:val="00637048"/>
    <w:rsid w:val="006370A8"/>
    <w:rsid w:val="00640559"/>
    <w:rsid w:val="00640BEF"/>
    <w:rsid w:val="00641B22"/>
    <w:rsid w:val="00641ECC"/>
    <w:rsid w:val="00642106"/>
    <w:rsid w:val="00644F42"/>
    <w:rsid w:val="006450FB"/>
    <w:rsid w:val="00645F36"/>
    <w:rsid w:val="00647203"/>
    <w:rsid w:val="0064744E"/>
    <w:rsid w:val="006504D5"/>
    <w:rsid w:val="00650C18"/>
    <w:rsid w:val="006525C4"/>
    <w:rsid w:val="006526F0"/>
    <w:rsid w:val="00652A22"/>
    <w:rsid w:val="00653115"/>
    <w:rsid w:val="0065396C"/>
    <w:rsid w:val="00654124"/>
    <w:rsid w:val="0065518D"/>
    <w:rsid w:val="00656E7B"/>
    <w:rsid w:val="006609E4"/>
    <w:rsid w:val="0066149B"/>
    <w:rsid w:val="0066173E"/>
    <w:rsid w:val="00661A54"/>
    <w:rsid w:val="00661D2A"/>
    <w:rsid w:val="00661D88"/>
    <w:rsid w:val="006644B6"/>
    <w:rsid w:val="006644B7"/>
    <w:rsid w:val="006650A4"/>
    <w:rsid w:val="00670560"/>
    <w:rsid w:val="0067060D"/>
    <w:rsid w:val="00672D50"/>
    <w:rsid w:val="0067324E"/>
    <w:rsid w:val="0067496D"/>
    <w:rsid w:val="00675E8E"/>
    <w:rsid w:val="0067723A"/>
    <w:rsid w:val="0067746B"/>
    <w:rsid w:val="0067767A"/>
    <w:rsid w:val="006804E1"/>
    <w:rsid w:val="0068132E"/>
    <w:rsid w:val="0068180E"/>
    <w:rsid w:val="00684C1A"/>
    <w:rsid w:val="00685D5A"/>
    <w:rsid w:val="006866F6"/>
    <w:rsid w:val="00686FF2"/>
    <w:rsid w:val="006874A4"/>
    <w:rsid w:val="00690578"/>
    <w:rsid w:val="00692EC7"/>
    <w:rsid w:val="0069309E"/>
    <w:rsid w:val="006936DB"/>
    <w:rsid w:val="00694250"/>
    <w:rsid w:val="006954B1"/>
    <w:rsid w:val="0069622A"/>
    <w:rsid w:val="006966A2"/>
    <w:rsid w:val="00697A13"/>
    <w:rsid w:val="006A0143"/>
    <w:rsid w:val="006A1C86"/>
    <w:rsid w:val="006A1D2C"/>
    <w:rsid w:val="006A25DA"/>
    <w:rsid w:val="006A3131"/>
    <w:rsid w:val="006A38B0"/>
    <w:rsid w:val="006A4B91"/>
    <w:rsid w:val="006A4BD7"/>
    <w:rsid w:val="006A5E85"/>
    <w:rsid w:val="006A6CEB"/>
    <w:rsid w:val="006A6CF6"/>
    <w:rsid w:val="006A76BD"/>
    <w:rsid w:val="006B0521"/>
    <w:rsid w:val="006B2A6D"/>
    <w:rsid w:val="006B2C34"/>
    <w:rsid w:val="006B34EA"/>
    <w:rsid w:val="006B3C85"/>
    <w:rsid w:val="006B3CBF"/>
    <w:rsid w:val="006B5968"/>
    <w:rsid w:val="006C022D"/>
    <w:rsid w:val="006C1D81"/>
    <w:rsid w:val="006C3599"/>
    <w:rsid w:val="006C445B"/>
    <w:rsid w:val="006C498F"/>
    <w:rsid w:val="006C5456"/>
    <w:rsid w:val="006C6304"/>
    <w:rsid w:val="006C6D25"/>
    <w:rsid w:val="006C7084"/>
    <w:rsid w:val="006D2DF5"/>
    <w:rsid w:val="006D47F0"/>
    <w:rsid w:val="006D4C66"/>
    <w:rsid w:val="006D61A4"/>
    <w:rsid w:val="006D6622"/>
    <w:rsid w:val="006D6B09"/>
    <w:rsid w:val="006D7B57"/>
    <w:rsid w:val="006E10E9"/>
    <w:rsid w:val="006E1C48"/>
    <w:rsid w:val="006E263D"/>
    <w:rsid w:val="006E3010"/>
    <w:rsid w:val="006E315D"/>
    <w:rsid w:val="006E4A02"/>
    <w:rsid w:val="006E50A9"/>
    <w:rsid w:val="006E5184"/>
    <w:rsid w:val="006E64DF"/>
    <w:rsid w:val="006E7162"/>
    <w:rsid w:val="006F4F8E"/>
    <w:rsid w:val="006F5037"/>
    <w:rsid w:val="006F53C0"/>
    <w:rsid w:val="006F5B55"/>
    <w:rsid w:val="006F644D"/>
    <w:rsid w:val="006F6796"/>
    <w:rsid w:val="0070050B"/>
    <w:rsid w:val="00704D33"/>
    <w:rsid w:val="00706278"/>
    <w:rsid w:val="007069B1"/>
    <w:rsid w:val="00706B16"/>
    <w:rsid w:val="00710D68"/>
    <w:rsid w:val="00712DB1"/>
    <w:rsid w:val="00715BDE"/>
    <w:rsid w:val="00717BA1"/>
    <w:rsid w:val="00717E39"/>
    <w:rsid w:val="00720920"/>
    <w:rsid w:val="00722CFD"/>
    <w:rsid w:val="00726206"/>
    <w:rsid w:val="0072750B"/>
    <w:rsid w:val="007315EA"/>
    <w:rsid w:val="007318F4"/>
    <w:rsid w:val="00735528"/>
    <w:rsid w:val="00735A8A"/>
    <w:rsid w:val="0073788C"/>
    <w:rsid w:val="00737A6C"/>
    <w:rsid w:val="00740190"/>
    <w:rsid w:val="00740276"/>
    <w:rsid w:val="00742A77"/>
    <w:rsid w:val="00744D97"/>
    <w:rsid w:val="00745B98"/>
    <w:rsid w:val="00746B92"/>
    <w:rsid w:val="00750A6F"/>
    <w:rsid w:val="00752085"/>
    <w:rsid w:val="00753FCF"/>
    <w:rsid w:val="00754459"/>
    <w:rsid w:val="0075620A"/>
    <w:rsid w:val="00757134"/>
    <w:rsid w:val="00757254"/>
    <w:rsid w:val="00757CCB"/>
    <w:rsid w:val="007605C4"/>
    <w:rsid w:val="00761013"/>
    <w:rsid w:val="007624E1"/>
    <w:rsid w:val="00762E28"/>
    <w:rsid w:val="0076308E"/>
    <w:rsid w:val="007638F8"/>
    <w:rsid w:val="00765026"/>
    <w:rsid w:val="007650FC"/>
    <w:rsid w:val="00765A1D"/>
    <w:rsid w:val="00765BF1"/>
    <w:rsid w:val="007667B9"/>
    <w:rsid w:val="0076712B"/>
    <w:rsid w:val="00767986"/>
    <w:rsid w:val="00767CAF"/>
    <w:rsid w:val="00771035"/>
    <w:rsid w:val="00772EB0"/>
    <w:rsid w:val="00774971"/>
    <w:rsid w:val="007750DF"/>
    <w:rsid w:val="007755CE"/>
    <w:rsid w:val="007758EF"/>
    <w:rsid w:val="007764CA"/>
    <w:rsid w:val="0077762C"/>
    <w:rsid w:val="00777E1B"/>
    <w:rsid w:val="00780F9A"/>
    <w:rsid w:val="00783539"/>
    <w:rsid w:val="00784E87"/>
    <w:rsid w:val="00787DA2"/>
    <w:rsid w:val="007931E1"/>
    <w:rsid w:val="00793B44"/>
    <w:rsid w:val="00796D04"/>
    <w:rsid w:val="007979FF"/>
    <w:rsid w:val="007A0B25"/>
    <w:rsid w:val="007A1CB1"/>
    <w:rsid w:val="007A3827"/>
    <w:rsid w:val="007A3947"/>
    <w:rsid w:val="007A40C5"/>
    <w:rsid w:val="007A4B79"/>
    <w:rsid w:val="007A54F5"/>
    <w:rsid w:val="007A5DF0"/>
    <w:rsid w:val="007A6EDB"/>
    <w:rsid w:val="007B0184"/>
    <w:rsid w:val="007B1598"/>
    <w:rsid w:val="007B2EE2"/>
    <w:rsid w:val="007B3EFE"/>
    <w:rsid w:val="007B6819"/>
    <w:rsid w:val="007C1404"/>
    <w:rsid w:val="007C24A5"/>
    <w:rsid w:val="007C2E01"/>
    <w:rsid w:val="007C67BC"/>
    <w:rsid w:val="007D0A8C"/>
    <w:rsid w:val="007D12BB"/>
    <w:rsid w:val="007D1C9D"/>
    <w:rsid w:val="007D31DF"/>
    <w:rsid w:val="007D3369"/>
    <w:rsid w:val="007D4C9C"/>
    <w:rsid w:val="007D4CE3"/>
    <w:rsid w:val="007D52D2"/>
    <w:rsid w:val="007D6C19"/>
    <w:rsid w:val="007D72D9"/>
    <w:rsid w:val="007E1C06"/>
    <w:rsid w:val="007E377A"/>
    <w:rsid w:val="007E4FD1"/>
    <w:rsid w:val="007E50A5"/>
    <w:rsid w:val="007E5B44"/>
    <w:rsid w:val="007E6B35"/>
    <w:rsid w:val="007E7713"/>
    <w:rsid w:val="007F0952"/>
    <w:rsid w:val="007F17FC"/>
    <w:rsid w:val="007F4537"/>
    <w:rsid w:val="007F6DB7"/>
    <w:rsid w:val="007F7F29"/>
    <w:rsid w:val="00801627"/>
    <w:rsid w:val="00801D2B"/>
    <w:rsid w:val="00804107"/>
    <w:rsid w:val="008050FA"/>
    <w:rsid w:val="0080514F"/>
    <w:rsid w:val="00805773"/>
    <w:rsid w:val="008066C3"/>
    <w:rsid w:val="008068F7"/>
    <w:rsid w:val="00814A3B"/>
    <w:rsid w:val="00815216"/>
    <w:rsid w:val="008239B6"/>
    <w:rsid w:val="00824D01"/>
    <w:rsid w:val="008264AB"/>
    <w:rsid w:val="00826A18"/>
    <w:rsid w:val="008279DA"/>
    <w:rsid w:val="00827A68"/>
    <w:rsid w:val="00831CE3"/>
    <w:rsid w:val="00833F64"/>
    <w:rsid w:val="00834989"/>
    <w:rsid w:val="00834B6E"/>
    <w:rsid w:val="00841807"/>
    <w:rsid w:val="00841A48"/>
    <w:rsid w:val="00841C55"/>
    <w:rsid w:val="0084226D"/>
    <w:rsid w:val="0084459B"/>
    <w:rsid w:val="00850158"/>
    <w:rsid w:val="008501DC"/>
    <w:rsid w:val="00850A0C"/>
    <w:rsid w:val="00850C95"/>
    <w:rsid w:val="00851353"/>
    <w:rsid w:val="00851765"/>
    <w:rsid w:val="0085264C"/>
    <w:rsid w:val="008530FF"/>
    <w:rsid w:val="00853D2F"/>
    <w:rsid w:val="00854440"/>
    <w:rsid w:val="00855327"/>
    <w:rsid w:val="00855EBB"/>
    <w:rsid w:val="00862285"/>
    <w:rsid w:val="008631CD"/>
    <w:rsid w:val="008658C4"/>
    <w:rsid w:val="008670A6"/>
    <w:rsid w:val="008673F5"/>
    <w:rsid w:val="00867DB3"/>
    <w:rsid w:val="00871BF9"/>
    <w:rsid w:val="008735CD"/>
    <w:rsid w:val="00874485"/>
    <w:rsid w:val="00874652"/>
    <w:rsid w:val="0087465D"/>
    <w:rsid w:val="008760C6"/>
    <w:rsid w:val="008774CA"/>
    <w:rsid w:val="008775B2"/>
    <w:rsid w:val="008820B3"/>
    <w:rsid w:val="00882437"/>
    <w:rsid w:val="008829AB"/>
    <w:rsid w:val="00882A4A"/>
    <w:rsid w:val="008830AD"/>
    <w:rsid w:val="0088474D"/>
    <w:rsid w:val="008850B2"/>
    <w:rsid w:val="00886A08"/>
    <w:rsid w:val="0088775E"/>
    <w:rsid w:val="00887CB9"/>
    <w:rsid w:val="00890FE3"/>
    <w:rsid w:val="00892465"/>
    <w:rsid w:val="00892A29"/>
    <w:rsid w:val="00892F0D"/>
    <w:rsid w:val="00894E4C"/>
    <w:rsid w:val="0089544C"/>
    <w:rsid w:val="00897147"/>
    <w:rsid w:val="0089716D"/>
    <w:rsid w:val="00897669"/>
    <w:rsid w:val="00897B48"/>
    <w:rsid w:val="00897B67"/>
    <w:rsid w:val="008A004F"/>
    <w:rsid w:val="008A0EB4"/>
    <w:rsid w:val="008A1DCA"/>
    <w:rsid w:val="008A1EBC"/>
    <w:rsid w:val="008A2DA0"/>
    <w:rsid w:val="008A2F93"/>
    <w:rsid w:val="008A56D3"/>
    <w:rsid w:val="008A73BE"/>
    <w:rsid w:val="008A7592"/>
    <w:rsid w:val="008A7ACA"/>
    <w:rsid w:val="008A7CF7"/>
    <w:rsid w:val="008B037E"/>
    <w:rsid w:val="008B194A"/>
    <w:rsid w:val="008B2FDE"/>
    <w:rsid w:val="008B4CC5"/>
    <w:rsid w:val="008B518C"/>
    <w:rsid w:val="008B572F"/>
    <w:rsid w:val="008B79C2"/>
    <w:rsid w:val="008C1C37"/>
    <w:rsid w:val="008C3337"/>
    <w:rsid w:val="008C39CC"/>
    <w:rsid w:val="008C3E0E"/>
    <w:rsid w:val="008C6908"/>
    <w:rsid w:val="008C7AD6"/>
    <w:rsid w:val="008D048B"/>
    <w:rsid w:val="008D0517"/>
    <w:rsid w:val="008D0B0E"/>
    <w:rsid w:val="008D2B3A"/>
    <w:rsid w:val="008D3301"/>
    <w:rsid w:val="008D4907"/>
    <w:rsid w:val="008D55F5"/>
    <w:rsid w:val="008D59D0"/>
    <w:rsid w:val="008D63FA"/>
    <w:rsid w:val="008D7322"/>
    <w:rsid w:val="008D7BB1"/>
    <w:rsid w:val="008E096F"/>
    <w:rsid w:val="008E1EF9"/>
    <w:rsid w:val="008E217B"/>
    <w:rsid w:val="008E2CF0"/>
    <w:rsid w:val="008E3000"/>
    <w:rsid w:val="008E36D1"/>
    <w:rsid w:val="008E372B"/>
    <w:rsid w:val="008E4173"/>
    <w:rsid w:val="008E4551"/>
    <w:rsid w:val="008E4E6E"/>
    <w:rsid w:val="008E5416"/>
    <w:rsid w:val="008F00FE"/>
    <w:rsid w:val="008F1E89"/>
    <w:rsid w:val="008F3565"/>
    <w:rsid w:val="008F3AF2"/>
    <w:rsid w:val="008F5DF0"/>
    <w:rsid w:val="008F6CB5"/>
    <w:rsid w:val="008F7392"/>
    <w:rsid w:val="00900C12"/>
    <w:rsid w:val="00902063"/>
    <w:rsid w:val="00902159"/>
    <w:rsid w:val="0090273B"/>
    <w:rsid w:val="009035B7"/>
    <w:rsid w:val="00903DC3"/>
    <w:rsid w:val="009045A8"/>
    <w:rsid w:val="00904FF6"/>
    <w:rsid w:val="00905001"/>
    <w:rsid w:val="00906010"/>
    <w:rsid w:val="009067A5"/>
    <w:rsid w:val="009068CB"/>
    <w:rsid w:val="00907037"/>
    <w:rsid w:val="009125B2"/>
    <w:rsid w:val="00920364"/>
    <w:rsid w:val="00921AA4"/>
    <w:rsid w:val="00921AB8"/>
    <w:rsid w:val="00924C7D"/>
    <w:rsid w:val="009265AB"/>
    <w:rsid w:val="00927146"/>
    <w:rsid w:val="0092786B"/>
    <w:rsid w:val="00927C88"/>
    <w:rsid w:val="00930462"/>
    <w:rsid w:val="0093126F"/>
    <w:rsid w:val="0093162F"/>
    <w:rsid w:val="00931BD8"/>
    <w:rsid w:val="00932835"/>
    <w:rsid w:val="00933C65"/>
    <w:rsid w:val="00933E40"/>
    <w:rsid w:val="0093648D"/>
    <w:rsid w:val="00936605"/>
    <w:rsid w:val="009377E3"/>
    <w:rsid w:val="009457EA"/>
    <w:rsid w:val="00946F55"/>
    <w:rsid w:val="00947FA2"/>
    <w:rsid w:val="00950581"/>
    <w:rsid w:val="009515D4"/>
    <w:rsid w:val="0095169B"/>
    <w:rsid w:val="00951793"/>
    <w:rsid w:val="009543E3"/>
    <w:rsid w:val="00954956"/>
    <w:rsid w:val="00954FCA"/>
    <w:rsid w:val="00955193"/>
    <w:rsid w:val="00956649"/>
    <w:rsid w:val="009652F5"/>
    <w:rsid w:val="009655AA"/>
    <w:rsid w:val="00966E32"/>
    <w:rsid w:val="00967B8B"/>
    <w:rsid w:val="00972BCE"/>
    <w:rsid w:val="0097339F"/>
    <w:rsid w:val="00973725"/>
    <w:rsid w:val="00974130"/>
    <w:rsid w:val="00974BF6"/>
    <w:rsid w:val="00975715"/>
    <w:rsid w:val="00977260"/>
    <w:rsid w:val="0097780C"/>
    <w:rsid w:val="00981872"/>
    <w:rsid w:val="00981F8A"/>
    <w:rsid w:val="00984CD3"/>
    <w:rsid w:val="00984FE5"/>
    <w:rsid w:val="009908DC"/>
    <w:rsid w:val="00990F9D"/>
    <w:rsid w:val="009919D6"/>
    <w:rsid w:val="009927EE"/>
    <w:rsid w:val="00992DFE"/>
    <w:rsid w:val="009936F7"/>
    <w:rsid w:val="00994014"/>
    <w:rsid w:val="009A0167"/>
    <w:rsid w:val="009A0523"/>
    <w:rsid w:val="009A0836"/>
    <w:rsid w:val="009A0D2C"/>
    <w:rsid w:val="009A2267"/>
    <w:rsid w:val="009A240D"/>
    <w:rsid w:val="009A46DF"/>
    <w:rsid w:val="009A4FCD"/>
    <w:rsid w:val="009A5BFA"/>
    <w:rsid w:val="009A76E5"/>
    <w:rsid w:val="009B0625"/>
    <w:rsid w:val="009B20C1"/>
    <w:rsid w:val="009B4EA3"/>
    <w:rsid w:val="009B7B83"/>
    <w:rsid w:val="009C0212"/>
    <w:rsid w:val="009C12C7"/>
    <w:rsid w:val="009C3757"/>
    <w:rsid w:val="009C3796"/>
    <w:rsid w:val="009C4072"/>
    <w:rsid w:val="009C4186"/>
    <w:rsid w:val="009C5B76"/>
    <w:rsid w:val="009C5D52"/>
    <w:rsid w:val="009C6379"/>
    <w:rsid w:val="009C7689"/>
    <w:rsid w:val="009D08CF"/>
    <w:rsid w:val="009D0AB6"/>
    <w:rsid w:val="009D3A30"/>
    <w:rsid w:val="009D3B5A"/>
    <w:rsid w:val="009D43BB"/>
    <w:rsid w:val="009D4870"/>
    <w:rsid w:val="009D659D"/>
    <w:rsid w:val="009E218B"/>
    <w:rsid w:val="009E21C4"/>
    <w:rsid w:val="009E2F73"/>
    <w:rsid w:val="009E44F2"/>
    <w:rsid w:val="009E53E4"/>
    <w:rsid w:val="009E6AE3"/>
    <w:rsid w:val="009E6E72"/>
    <w:rsid w:val="009E6FD9"/>
    <w:rsid w:val="009F3A8B"/>
    <w:rsid w:val="009F41A5"/>
    <w:rsid w:val="009F46A9"/>
    <w:rsid w:val="009F4819"/>
    <w:rsid w:val="009F772E"/>
    <w:rsid w:val="00A00FFB"/>
    <w:rsid w:val="00A01170"/>
    <w:rsid w:val="00A02273"/>
    <w:rsid w:val="00A03352"/>
    <w:rsid w:val="00A0392B"/>
    <w:rsid w:val="00A0414A"/>
    <w:rsid w:val="00A04416"/>
    <w:rsid w:val="00A04CEC"/>
    <w:rsid w:val="00A06368"/>
    <w:rsid w:val="00A06FAD"/>
    <w:rsid w:val="00A11BD8"/>
    <w:rsid w:val="00A124E7"/>
    <w:rsid w:val="00A13EDF"/>
    <w:rsid w:val="00A159FD"/>
    <w:rsid w:val="00A21A26"/>
    <w:rsid w:val="00A21C4B"/>
    <w:rsid w:val="00A228B6"/>
    <w:rsid w:val="00A246AD"/>
    <w:rsid w:val="00A26646"/>
    <w:rsid w:val="00A316F3"/>
    <w:rsid w:val="00A31A46"/>
    <w:rsid w:val="00A31E89"/>
    <w:rsid w:val="00A3230F"/>
    <w:rsid w:val="00A32574"/>
    <w:rsid w:val="00A32902"/>
    <w:rsid w:val="00A32D22"/>
    <w:rsid w:val="00A339ED"/>
    <w:rsid w:val="00A34CB3"/>
    <w:rsid w:val="00A379EB"/>
    <w:rsid w:val="00A40717"/>
    <w:rsid w:val="00A4370A"/>
    <w:rsid w:val="00A45627"/>
    <w:rsid w:val="00A4651F"/>
    <w:rsid w:val="00A47460"/>
    <w:rsid w:val="00A5012D"/>
    <w:rsid w:val="00A50180"/>
    <w:rsid w:val="00A5053F"/>
    <w:rsid w:val="00A52A4A"/>
    <w:rsid w:val="00A54D3B"/>
    <w:rsid w:val="00A56889"/>
    <w:rsid w:val="00A6186A"/>
    <w:rsid w:val="00A6212D"/>
    <w:rsid w:val="00A628CA"/>
    <w:rsid w:val="00A6335B"/>
    <w:rsid w:val="00A65109"/>
    <w:rsid w:val="00A65B6F"/>
    <w:rsid w:val="00A65D77"/>
    <w:rsid w:val="00A6663D"/>
    <w:rsid w:val="00A7003C"/>
    <w:rsid w:val="00A703F7"/>
    <w:rsid w:val="00A72A9A"/>
    <w:rsid w:val="00A73923"/>
    <w:rsid w:val="00A7443E"/>
    <w:rsid w:val="00A7496F"/>
    <w:rsid w:val="00A75607"/>
    <w:rsid w:val="00A75E03"/>
    <w:rsid w:val="00A761A2"/>
    <w:rsid w:val="00A76218"/>
    <w:rsid w:val="00A77424"/>
    <w:rsid w:val="00A77746"/>
    <w:rsid w:val="00A80EAC"/>
    <w:rsid w:val="00A81166"/>
    <w:rsid w:val="00A82D83"/>
    <w:rsid w:val="00A83C8B"/>
    <w:rsid w:val="00A84F1F"/>
    <w:rsid w:val="00A84FE8"/>
    <w:rsid w:val="00A852D8"/>
    <w:rsid w:val="00A862E1"/>
    <w:rsid w:val="00A86F0A"/>
    <w:rsid w:val="00A87CEB"/>
    <w:rsid w:val="00A9167F"/>
    <w:rsid w:val="00A91BDA"/>
    <w:rsid w:val="00A95ADB"/>
    <w:rsid w:val="00A961C9"/>
    <w:rsid w:val="00A96262"/>
    <w:rsid w:val="00AA357A"/>
    <w:rsid w:val="00AA36CA"/>
    <w:rsid w:val="00AA4556"/>
    <w:rsid w:val="00AA4AD1"/>
    <w:rsid w:val="00AA691D"/>
    <w:rsid w:val="00AA69CD"/>
    <w:rsid w:val="00AA75E6"/>
    <w:rsid w:val="00AA76AE"/>
    <w:rsid w:val="00AB007E"/>
    <w:rsid w:val="00AB0EEF"/>
    <w:rsid w:val="00AB1156"/>
    <w:rsid w:val="00AB181C"/>
    <w:rsid w:val="00AB1B87"/>
    <w:rsid w:val="00AB20C8"/>
    <w:rsid w:val="00AB2502"/>
    <w:rsid w:val="00AB3B01"/>
    <w:rsid w:val="00AB3F46"/>
    <w:rsid w:val="00AB5774"/>
    <w:rsid w:val="00AB62FC"/>
    <w:rsid w:val="00AB6E02"/>
    <w:rsid w:val="00AC1B2F"/>
    <w:rsid w:val="00AC414D"/>
    <w:rsid w:val="00AC4837"/>
    <w:rsid w:val="00AC50B8"/>
    <w:rsid w:val="00AD0819"/>
    <w:rsid w:val="00AD3762"/>
    <w:rsid w:val="00AD40DC"/>
    <w:rsid w:val="00AD4572"/>
    <w:rsid w:val="00AD471A"/>
    <w:rsid w:val="00AD58DA"/>
    <w:rsid w:val="00AD6BCD"/>
    <w:rsid w:val="00AD7286"/>
    <w:rsid w:val="00AD7ACF"/>
    <w:rsid w:val="00AE1F33"/>
    <w:rsid w:val="00AE1FE5"/>
    <w:rsid w:val="00AE3D3C"/>
    <w:rsid w:val="00AE4231"/>
    <w:rsid w:val="00AE7D0B"/>
    <w:rsid w:val="00AF041A"/>
    <w:rsid w:val="00AF05A3"/>
    <w:rsid w:val="00AF0B10"/>
    <w:rsid w:val="00AF0DD5"/>
    <w:rsid w:val="00AF1EAB"/>
    <w:rsid w:val="00AF2E00"/>
    <w:rsid w:val="00AF3D1C"/>
    <w:rsid w:val="00AF48BA"/>
    <w:rsid w:val="00AF779C"/>
    <w:rsid w:val="00AF79CC"/>
    <w:rsid w:val="00AF7A73"/>
    <w:rsid w:val="00B006DF"/>
    <w:rsid w:val="00B02314"/>
    <w:rsid w:val="00B02A1A"/>
    <w:rsid w:val="00B02B1A"/>
    <w:rsid w:val="00B02C50"/>
    <w:rsid w:val="00B03B2F"/>
    <w:rsid w:val="00B03D59"/>
    <w:rsid w:val="00B058F9"/>
    <w:rsid w:val="00B05F20"/>
    <w:rsid w:val="00B100D3"/>
    <w:rsid w:val="00B11C4D"/>
    <w:rsid w:val="00B121D3"/>
    <w:rsid w:val="00B135A0"/>
    <w:rsid w:val="00B1396A"/>
    <w:rsid w:val="00B13E61"/>
    <w:rsid w:val="00B15DBE"/>
    <w:rsid w:val="00B16170"/>
    <w:rsid w:val="00B20467"/>
    <w:rsid w:val="00B20736"/>
    <w:rsid w:val="00B20CE4"/>
    <w:rsid w:val="00B21E3C"/>
    <w:rsid w:val="00B229EB"/>
    <w:rsid w:val="00B236EA"/>
    <w:rsid w:val="00B26BD8"/>
    <w:rsid w:val="00B27BE5"/>
    <w:rsid w:val="00B3072B"/>
    <w:rsid w:val="00B30BB3"/>
    <w:rsid w:val="00B33D60"/>
    <w:rsid w:val="00B34DCB"/>
    <w:rsid w:val="00B354F9"/>
    <w:rsid w:val="00B379AA"/>
    <w:rsid w:val="00B408F7"/>
    <w:rsid w:val="00B42955"/>
    <w:rsid w:val="00B43E78"/>
    <w:rsid w:val="00B457B3"/>
    <w:rsid w:val="00B51503"/>
    <w:rsid w:val="00B516F9"/>
    <w:rsid w:val="00B52756"/>
    <w:rsid w:val="00B52C07"/>
    <w:rsid w:val="00B555FE"/>
    <w:rsid w:val="00B56AD7"/>
    <w:rsid w:val="00B6096F"/>
    <w:rsid w:val="00B60A63"/>
    <w:rsid w:val="00B6142A"/>
    <w:rsid w:val="00B62AA7"/>
    <w:rsid w:val="00B62BB2"/>
    <w:rsid w:val="00B67C8C"/>
    <w:rsid w:val="00B67FD8"/>
    <w:rsid w:val="00B70A71"/>
    <w:rsid w:val="00B71C78"/>
    <w:rsid w:val="00B73CB6"/>
    <w:rsid w:val="00B73DF3"/>
    <w:rsid w:val="00B75AD7"/>
    <w:rsid w:val="00B76802"/>
    <w:rsid w:val="00B801C0"/>
    <w:rsid w:val="00B80350"/>
    <w:rsid w:val="00B80681"/>
    <w:rsid w:val="00B80781"/>
    <w:rsid w:val="00B86005"/>
    <w:rsid w:val="00B90931"/>
    <w:rsid w:val="00B914BA"/>
    <w:rsid w:val="00B91C77"/>
    <w:rsid w:val="00B935CF"/>
    <w:rsid w:val="00B938B0"/>
    <w:rsid w:val="00B95600"/>
    <w:rsid w:val="00B96270"/>
    <w:rsid w:val="00B96376"/>
    <w:rsid w:val="00B96483"/>
    <w:rsid w:val="00B96592"/>
    <w:rsid w:val="00B96BE5"/>
    <w:rsid w:val="00B96EC4"/>
    <w:rsid w:val="00B97D4D"/>
    <w:rsid w:val="00BA10EC"/>
    <w:rsid w:val="00BA19A6"/>
    <w:rsid w:val="00BA1F80"/>
    <w:rsid w:val="00BA2D2B"/>
    <w:rsid w:val="00BA3CB1"/>
    <w:rsid w:val="00BA50D7"/>
    <w:rsid w:val="00BA51B8"/>
    <w:rsid w:val="00BB0AB0"/>
    <w:rsid w:val="00BB4AC1"/>
    <w:rsid w:val="00BB564C"/>
    <w:rsid w:val="00BB5D73"/>
    <w:rsid w:val="00BB63B6"/>
    <w:rsid w:val="00BB6AFD"/>
    <w:rsid w:val="00BC10C2"/>
    <w:rsid w:val="00BC1513"/>
    <w:rsid w:val="00BC26F7"/>
    <w:rsid w:val="00BC2EF6"/>
    <w:rsid w:val="00BC324B"/>
    <w:rsid w:val="00BC33A5"/>
    <w:rsid w:val="00BC4E2F"/>
    <w:rsid w:val="00BC6A4B"/>
    <w:rsid w:val="00BD2112"/>
    <w:rsid w:val="00BD35B4"/>
    <w:rsid w:val="00BD3E1C"/>
    <w:rsid w:val="00BD41C7"/>
    <w:rsid w:val="00BD5350"/>
    <w:rsid w:val="00BD6EB9"/>
    <w:rsid w:val="00BE0060"/>
    <w:rsid w:val="00BE07D5"/>
    <w:rsid w:val="00BE081F"/>
    <w:rsid w:val="00BE4F8D"/>
    <w:rsid w:val="00BE555B"/>
    <w:rsid w:val="00BE5FDD"/>
    <w:rsid w:val="00BE64FC"/>
    <w:rsid w:val="00BE66A6"/>
    <w:rsid w:val="00BE6EFC"/>
    <w:rsid w:val="00BE7B67"/>
    <w:rsid w:val="00BF107F"/>
    <w:rsid w:val="00BF2C12"/>
    <w:rsid w:val="00BF36AE"/>
    <w:rsid w:val="00BF5148"/>
    <w:rsid w:val="00BF5A84"/>
    <w:rsid w:val="00BF627B"/>
    <w:rsid w:val="00BF67DC"/>
    <w:rsid w:val="00BF6E16"/>
    <w:rsid w:val="00BF7F92"/>
    <w:rsid w:val="00C001FC"/>
    <w:rsid w:val="00C01464"/>
    <w:rsid w:val="00C018A0"/>
    <w:rsid w:val="00C0304F"/>
    <w:rsid w:val="00C039BB"/>
    <w:rsid w:val="00C04202"/>
    <w:rsid w:val="00C05135"/>
    <w:rsid w:val="00C053C9"/>
    <w:rsid w:val="00C05564"/>
    <w:rsid w:val="00C057F9"/>
    <w:rsid w:val="00C0585C"/>
    <w:rsid w:val="00C06903"/>
    <w:rsid w:val="00C06911"/>
    <w:rsid w:val="00C06D5A"/>
    <w:rsid w:val="00C07D39"/>
    <w:rsid w:val="00C07F43"/>
    <w:rsid w:val="00C10748"/>
    <w:rsid w:val="00C123A1"/>
    <w:rsid w:val="00C1301B"/>
    <w:rsid w:val="00C14581"/>
    <w:rsid w:val="00C1568C"/>
    <w:rsid w:val="00C1783C"/>
    <w:rsid w:val="00C20E99"/>
    <w:rsid w:val="00C252A6"/>
    <w:rsid w:val="00C26FD4"/>
    <w:rsid w:val="00C27742"/>
    <w:rsid w:val="00C300BD"/>
    <w:rsid w:val="00C3210B"/>
    <w:rsid w:val="00C348AC"/>
    <w:rsid w:val="00C35BBD"/>
    <w:rsid w:val="00C362E3"/>
    <w:rsid w:val="00C420CB"/>
    <w:rsid w:val="00C4245C"/>
    <w:rsid w:val="00C4347A"/>
    <w:rsid w:val="00C46B0C"/>
    <w:rsid w:val="00C518C1"/>
    <w:rsid w:val="00C5301C"/>
    <w:rsid w:val="00C530C1"/>
    <w:rsid w:val="00C53A69"/>
    <w:rsid w:val="00C53F93"/>
    <w:rsid w:val="00C545AE"/>
    <w:rsid w:val="00C54E35"/>
    <w:rsid w:val="00C561C2"/>
    <w:rsid w:val="00C6200A"/>
    <w:rsid w:val="00C64DB9"/>
    <w:rsid w:val="00C65DFC"/>
    <w:rsid w:val="00C669EF"/>
    <w:rsid w:val="00C70237"/>
    <w:rsid w:val="00C721AD"/>
    <w:rsid w:val="00C727A9"/>
    <w:rsid w:val="00C73A82"/>
    <w:rsid w:val="00C747B5"/>
    <w:rsid w:val="00C7611D"/>
    <w:rsid w:val="00C774EB"/>
    <w:rsid w:val="00C77676"/>
    <w:rsid w:val="00C8163F"/>
    <w:rsid w:val="00C8223C"/>
    <w:rsid w:val="00C868C1"/>
    <w:rsid w:val="00C86D9E"/>
    <w:rsid w:val="00C8763A"/>
    <w:rsid w:val="00C92B13"/>
    <w:rsid w:val="00C93C7C"/>
    <w:rsid w:val="00C94B53"/>
    <w:rsid w:val="00C94F93"/>
    <w:rsid w:val="00C95D86"/>
    <w:rsid w:val="00C962FC"/>
    <w:rsid w:val="00C9705D"/>
    <w:rsid w:val="00C970F9"/>
    <w:rsid w:val="00C97418"/>
    <w:rsid w:val="00C976ED"/>
    <w:rsid w:val="00C979EC"/>
    <w:rsid w:val="00C97D60"/>
    <w:rsid w:val="00CA1581"/>
    <w:rsid w:val="00CA24FB"/>
    <w:rsid w:val="00CA2A72"/>
    <w:rsid w:val="00CA64AA"/>
    <w:rsid w:val="00CA7C8B"/>
    <w:rsid w:val="00CB142C"/>
    <w:rsid w:val="00CB1BF6"/>
    <w:rsid w:val="00CB403F"/>
    <w:rsid w:val="00CB445A"/>
    <w:rsid w:val="00CC08AA"/>
    <w:rsid w:val="00CC178A"/>
    <w:rsid w:val="00CC3170"/>
    <w:rsid w:val="00CC425B"/>
    <w:rsid w:val="00CC53A0"/>
    <w:rsid w:val="00CC60E9"/>
    <w:rsid w:val="00CD21D1"/>
    <w:rsid w:val="00CD33C5"/>
    <w:rsid w:val="00CD5077"/>
    <w:rsid w:val="00CD623A"/>
    <w:rsid w:val="00CE0A5C"/>
    <w:rsid w:val="00CE1CCE"/>
    <w:rsid w:val="00CE1E0B"/>
    <w:rsid w:val="00CE2EBF"/>
    <w:rsid w:val="00CE56F0"/>
    <w:rsid w:val="00CE72EA"/>
    <w:rsid w:val="00CE7F2D"/>
    <w:rsid w:val="00CF0C2E"/>
    <w:rsid w:val="00CF132E"/>
    <w:rsid w:val="00CF1432"/>
    <w:rsid w:val="00CF1B4B"/>
    <w:rsid w:val="00CF2872"/>
    <w:rsid w:val="00CF3478"/>
    <w:rsid w:val="00CF3A62"/>
    <w:rsid w:val="00CF4DA3"/>
    <w:rsid w:val="00CF7FAC"/>
    <w:rsid w:val="00D0034A"/>
    <w:rsid w:val="00D02485"/>
    <w:rsid w:val="00D0378A"/>
    <w:rsid w:val="00D06D37"/>
    <w:rsid w:val="00D07736"/>
    <w:rsid w:val="00D07A91"/>
    <w:rsid w:val="00D10531"/>
    <w:rsid w:val="00D124E5"/>
    <w:rsid w:val="00D12E93"/>
    <w:rsid w:val="00D136D2"/>
    <w:rsid w:val="00D1372B"/>
    <w:rsid w:val="00D13A10"/>
    <w:rsid w:val="00D147AC"/>
    <w:rsid w:val="00D14CDC"/>
    <w:rsid w:val="00D15033"/>
    <w:rsid w:val="00D167F7"/>
    <w:rsid w:val="00D16FDD"/>
    <w:rsid w:val="00D22078"/>
    <w:rsid w:val="00D22235"/>
    <w:rsid w:val="00D23BF6"/>
    <w:rsid w:val="00D30032"/>
    <w:rsid w:val="00D31516"/>
    <w:rsid w:val="00D335C9"/>
    <w:rsid w:val="00D340D5"/>
    <w:rsid w:val="00D36B5B"/>
    <w:rsid w:val="00D37BB3"/>
    <w:rsid w:val="00D421B1"/>
    <w:rsid w:val="00D42DFC"/>
    <w:rsid w:val="00D43A7A"/>
    <w:rsid w:val="00D44072"/>
    <w:rsid w:val="00D4551A"/>
    <w:rsid w:val="00D47A3D"/>
    <w:rsid w:val="00D5657B"/>
    <w:rsid w:val="00D574A8"/>
    <w:rsid w:val="00D57A82"/>
    <w:rsid w:val="00D57F30"/>
    <w:rsid w:val="00D60406"/>
    <w:rsid w:val="00D610B0"/>
    <w:rsid w:val="00D617EE"/>
    <w:rsid w:val="00D62129"/>
    <w:rsid w:val="00D636D3"/>
    <w:rsid w:val="00D63ADB"/>
    <w:rsid w:val="00D63D22"/>
    <w:rsid w:val="00D63D87"/>
    <w:rsid w:val="00D66203"/>
    <w:rsid w:val="00D666BA"/>
    <w:rsid w:val="00D66AE0"/>
    <w:rsid w:val="00D67F73"/>
    <w:rsid w:val="00D7073D"/>
    <w:rsid w:val="00D7113A"/>
    <w:rsid w:val="00D72269"/>
    <w:rsid w:val="00D73CCA"/>
    <w:rsid w:val="00D74911"/>
    <w:rsid w:val="00D76C97"/>
    <w:rsid w:val="00D76FBC"/>
    <w:rsid w:val="00D778E8"/>
    <w:rsid w:val="00D77D2B"/>
    <w:rsid w:val="00D818DA"/>
    <w:rsid w:val="00D8275D"/>
    <w:rsid w:val="00D84319"/>
    <w:rsid w:val="00D8436B"/>
    <w:rsid w:val="00D86915"/>
    <w:rsid w:val="00D917D7"/>
    <w:rsid w:val="00D95FE5"/>
    <w:rsid w:val="00D962A2"/>
    <w:rsid w:val="00DA0C3E"/>
    <w:rsid w:val="00DA2840"/>
    <w:rsid w:val="00DA3D9C"/>
    <w:rsid w:val="00DA62CE"/>
    <w:rsid w:val="00DA6408"/>
    <w:rsid w:val="00DA7D7C"/>
    <w:rsid w:val="00DB19E7"/>
    <w:rsid w:val="00DB34CB"/>
    <w:rsid w:val="00DB3AF0"/>
    <w:rsid w:val="00DB4A4C"/>
    <w:rsid w:val="00DB5C74"/>
    <w:rsid w:val="00DB6D94"/>
    <w:rsid w:val="00DB7C58"/>
    <w:rsid w:val="00DB7EAE"/>
    <w:rsid w:val="00DB7F8B"/>
    <w:rsid w:val="00DC2C4C"/>
    <w:rsid w:val="00DC48B3"/>
    <w:rsid w:val="00DC6622"/>
    <w:rsid w:val="00DC711F"/>
    <w:rsid w:val="00DD0F6B"/>
    <w:rsid w:val="00DD1AB7"/>
    <w:rsid w:val="00DD3AE8"/>
    <w:rsid w:val="00DD4368"/>
    <w:rsid w:val="00DD516B"/>
    <w:rsid w:val="00DD61B3"/>
    <w:rsid w:val="00DD6AC1"/>
    <w:rsid w:val="00DD73D1"/>
    <w:rsid w:val="00DE0494"/>
    <w:rsid w:val="00DE0CB0"/>
    <w:rsid w:val="00DE10DC"/>
    <w:rsid w:val="00DE2B63"/>
    <w:rsid w:val="00DE2C92"/>
    <w:rsid w:val="00DE34FF"/>
    <w:rsid w:val="00DE3F4D"/>
    <w:rsid w:val="00DE5398"/>
    <w:rsid w:val="00DF01A7"/>
    <w:rsid w:val="00DF02C9"/>
    <w:rsid w:val="00DF13B1"/>
    <w:rsid w:val="00DF19E5"/>
    <w:rsid w:val="00DF1DF9"/>
    <w:rsid w:val="00DF1F1F"/>
    <w:rsid w:val="00DF2691"/>
    <w:rsid w:val="00DF26AA"/>
    <w:rsid w:val="00DF3FE9"/>
    <w:rsid w:val="00DF5DEC"/>
    <w:rsid w:val="00DF6A75"/>
    <w:rsid w:val="00DF6BA4"/>
    <w:rsid w:val="00E0177F"/>
    <w:rsid w:val="00E03C30"/>
    <w:rsid w:val="00E04481"/>
    <w:rsid w:val="00E047A2"/>
    <w:rsid w:val="00E0688B"/>
    <w:rsid w:val="00E10097"/>
    <w:rsid w:val="00E115C8"/>
    <w:rsid w:val="00E11DEA"/>
    <w:rsid w:val="00E11E44"/>
    <w:rsid w:val="00E133A5"/>
    <w:rsid w:val="00E13864"/>
    <w:rsid w:val="00E17BBA"/>
    <w:rsid w:val="00E17D38"/>
    <w:rsid w:val="00E21AA5"/>
    <w:rsid w:val="00E21AE4"/>
    <w:rsid w:val="00E21C6D"/>
    <w:rsid w:val="00E22016"/>
    <w:rsid w:val="00E22C49"/>
    <w:rsid w:val="00E22CC9"/>
    <w:rsid w:val="00E22DF3"/>
    <w:rsid w:val="00E2397A"/>
    <w:rsid w:val="00E24E0A"/>
    <w:rsid w:val="00E26176"/>
    <w:rsid w:val="00E2741B"/>
    <w:rsid w:val="00E32474"/>
    <w:rsid w:val="00E325CD"/>
    <w:rsid w:val="00E329DA"/>
    <w:rsid w:val="00E32E17"/>
    <w:rsid w:val="00E33BD9"/>
    <w:rsid w:val="00E33D80"/>
    <w:rsid w:val="00E348CE"/>
    <w:rsid w:val="00E35810"/>
    <w:rsid w:val="00E41CA3"/>
    <w:rsid w:val="00E43499"/>
    <w:rsid w:val="00E43865"/>
    <w:rsid w:val="00E44AC9"/>
    <w:rsid w:val="00E45213"/>
    <w:rsid w:val="00E46EC9"/>
    <w:rsid w:val="00E478D6"/>
    <w:rsid w:val="00E51222"/>
    <w:rsid w:val="00E51253"/>
    <w:rsid w:val="00E5154E"/>
    <w:rsid w:val="00E5166F"/>
    <w:rsid w:val="00E51832"/>
    <w:rsid w:val="00E51C2B"/>
    <w:rsid w:val="00E5238E"/>
    <w:rsid w:val="00E534A8"/>
    <w:rsid w:val="00E54293"/>
    <w:rsid w:val="00E5456C"/>
    <w:rsid w:val="00E54581"/>
    <w:rsid w:val="00E56ACF"/>
    <w:rsid w:val="00E578D0"/>
    <w:rsid w:val="00E602E2"/>
    <w:rsid w:val="00E61211"/>
    <w:rsid w:val="00E615C2"/>
    <w:rsid w:val="00E617DF"/>
    <w:rsid w:val="00E624CA"/>
    <w:rsid w:val="00E62E32"/>
    <w:rsid w:val="00E65649"/>
    <w:rsid w:val="00E65918"/>
    <w:rsid w:val="00E67D36"/>
    <w:rsid w:val="00E727D6"/>
    <w:rsid w:val="00E7375E"/>
    <w:rsid w:val="00E73BE3"/>
    <w:rsid w:val="00E73BEF"/>
    <w:rsid w:val="00E75909"/>
    <w:rsid w:val="00E75C9A"/>
    <w:rsid w:val="00E76D04"/>
    <w:rsid w:val="00E818F5"/>
    <w:rsid w:val="00E81C7D"/>
    <w:rsid w:val="00E82BFD"/>
    <w:rsid w:val="00E85D54"/>
    <w:rsid w:val="00E87147"/>
    <w:rsid w:val="00E873EB"/>
    <w:rsid w:val="00E874D8"/>
    <w:rsid w:val="00E87F7D"/>
    <w:rsid w:val="00E91D73"/>
    <w:rsid w:val="00E93912"/>
    <w:rsid w:val="00E967A0"/>
    <w:rsid w:val="00E96C11"/>
    <w:rsid w:val="00E97BC4"/>
    <w:rsid w:val="00EA0B64"/>
    <w:rsid w:val="00EA261A"/>
    <w:rsid w:val="00EA3700"/>
    <w:rsid w:val="00EA38C2"/>
    <w:rsid w:val="00EA4E3E"/>
    <w:rsid w:val="00EA4F70"/>
    <w:rsid w:val="00EB019D"/>
    <w:rsid w:val="00EB08E1"/>
    <w:rsid w:val="00EB1340"/>
    <w:rsid w:val="00EB1C9C"/>
    <w:rsid w:val="00EB4365"/>
    <w:rsid w:val="00EB44F1"/>
    <w:rsid w:val="00EB4799"/>
    <w:rsid w:val="00EB569F"/>
    <w:rsid w:val="00EB5F5D"/>
    <w:rsid w:val="00EB7553"/>
    <w:rsid w:val="00EC0410"/>
    <w:rsid w:val="00EC0AD0"/>
    <w:rsid w:val="00EC1ED9"/>
    <w:rsid w:val="00EC1FEA"/>
    <w:rsid w:val="00EC2DC2"/>
    <w:rsid w:val="00EC363B"/>
    <w:rsid w:val="00EC4B0A"/>
    <w:rsid w:val="00EC5739"/>
    <w:rsid w:val="00EC5A5E"/>
    <w:rsid w:val="00EC5CD9"/>
    <w:rsid w:val="00ED0435"/>
    <w:rsid w:val="00ED06B3"/>
    <w:rsid w:val="00ED189B"/>
    <w:rsid w:val="00ED2BCA"/>
    <w:rsid w:val="00ED5329"/>
    <w:rsid w:val="00ED645A"/>
    <w:rsid w:val="00ED6970"/>
    <w:rsid w:val="00ED6E48"/>
    <w:rsid w:val="00ED77E1"/>
    <w:rsid w:val="00ED7DEC"/>
    <w:rsid w:val="00EE22D4"/>
    <w:rsid w:val="00EE23AA"/>
    <w:rsid w:val="00EE3762"/>
    <w:rsid w:val="00EE3A3F"/>
    <w:rsid w:val="00EE4918"/>
    <w:rsid w:val="00EE4C0A"/>
    <w:rsid w:val="00EE593C"/>
    <w:rsid w:val="00EE76CB"/>
    <w:rsid w:val="00EF1F74"/>
    <w:rsid w:val="00EF4CBE"/>
    <w:rsid w:val="00EF6444"/>
    <w:rsid w:val="00F001D4"/>
    <w:rsid w:val="00F014FA"/>
    <w:rsid w:val="00F01693"/>
    <w:rsid w:val="00F02591"/>
    <w:rsid w:val="00F02EA3"/>
    <w:rsid w:val="00F03A49"/>
    <w:rsid w:val="00F041A0"/>
    <w:rsid w:val="00F042F8"/>
    <w:rsid w:val="00F043AF"/>
    <w:rsid w:val="00F04984"/>
    <w:rsid w:val="00F05C0F"/>
    <w:rsid w:val="00F07096"/>
    <w:rsid w:val="00F10AE8"/>
    <w:rsid w:val="00F122DA"/>
    <w:rsid w:val="00F127E1"/>
    <w:rsid w:val="00F13104"/>
    <w:rsid w:val="00F156B7"/>
    <w:rsid w:val="00F211D5"/>
    <w:rsid w:val="00F2241F"/>
    <w:rsid w:val="00F23A6C"/>
    <w:rsid w:val="00F23B12"/>
    <w:rsid w:val="00F24F3D"/>
    <w:rsid w:val="00F2514A"/>
    <w:rsid w:val="00F2590F"/>
    <w:rsid w:val="00F25A7F"/>
    <w:rsid w:val="00F2713F"/>
    <w:rsid w:val="00F27796"/>
    <w:rsid w:val="00F33476"/>
    <w:rsid w:val="00F356C5"/>
    <w:rsid w:val="00F35A15"/>
    <w:rsid w:val="00F35E23"/>
    <w:rsid w:val="00F374D3"/>
    <w:rsid w:val="00F37D6A"/>
    <w:rsid w:val="00F412CE"/>
    <w:rsid w:val="00F42128"/>
    <w:rsid w:val="00F43A04"/>
    <w:rsid w:val="00F455CC"/>
    <w:rsid w:val="00F47786"/>
    <w:rsid w:val="00F502ED"/>
    <w:rsid w:val="00F50823"/>
    <w:rsid w:val="00F52D30"/>
    <w:rsid w:val="00F535AC"/>
    <w:rsid w:val="00F54B86"/>
    <w:rsid w:val="00F55BCD"/>
    <w:rsid w:val="00F56B03"/>
    <w:rsid w:val="00F5761B"/>
    <w:rsid w:val="00F641CA"/>
    <w:rsid w:val="00F663ED"/>
    <w:rsid w:val="00F675C0"/>
    <w:rsid w:val="00F717E9"/>
    <w:rsid w:val="00F71FEE"/>
    <w:rsid w:val="00F736C0"/>
    <w:rsid w:val="00F73E09"/>
    <w:rsid w:val="00F73EF3"/>
    <w:rsid w:val="00F77701"/>
    <w:rsid w:val="00F81895"/>
    <w:rsid w:val="00F83CCA"/>
    <w:rsid w:val="00F83D02"/>
    <w:rsid w:val="00F84386"/>
    <w:rsid w:val="00F84B98"/>
    <w:rsid w:val="00F853A4"/>
    <w:rsid w:val="00F8713E"/>
    <w:rsid w:val="00F87194"/>
    <w:rsid w:val="00F8733F"/>
    <w:rsid w:val="00F90004"/>
    <w:rsid w:val="00F91B96"/>
    <w:rsid w:val="00F9230E"/>
    <w:rsid w:val="00F92350"/>
    <w:rsid w:val="00F93517"/>
    <w:rsid w:val="00F94AEF"/>
    <w:rsid w:val="00F95485"/>
    <w:rsid w:val="00F96459"/>
    <w:rsid w:val="00F96F5C"/>
    <w:rsid w:val="00F970EF"/>
    <w:rsid w:val="00F9787D"/>
    <w:rsid w:val="00FA14B4"/>
    <w:rsid w:val="00FA1946"/>
    <w:rsid w:val="00FA2E46"/>
    <w:rsid w:val="00FA30B7"/>
    <w:rsid w:val="00FA6971"/>
    <w:rsid w:val="00FA6B68"/>
    <w:rsid w:val="00FB04A4"/>
    <w:rsid w:val="00FB1390"/>
    <w:rsid w:val="00FB22A4"/>
    <w:rsid w:val="00FB2652"/>
    <w:rsid w:val="00FB26EF"/>
    <w:rsid w:val="00FB5CC9"/>
    <w:rsid w:val="00FB63B2"/>
    <w:rsid w:val="00FB6B81"/>
    <w:rsid w:val="00FB6DE1"/>
    <w:rsid w:val="00FC0CE4"/>
    <w:rsid w:val="00FC51A9"/>
    <w:rsid w:val="00FC71E2"/>
    <w:rsid w:val="00FC76BB"/>
    <w:rsid w:val="00FD1950"/>
    <w:rsid w:val="00FD2C87"/>
    <w:rsid w:val="00FD509C"/>
    <w:rsid w:val="00FD5F8B"/>
    <w:rsid w:val="00FD6022"/>
    <w:rsid w:val="00FD720C"/>
    <w:rsid w:val="00FD75B4"/>
    <w:rsid w:val="00FD7AB9"/>
    <w:rsid w:val="00FE00F7"/>
    <w:rsid w:val="00FE176D"/>
    <w:rsid w:val="00FE1D48"/>
    <w:rsid w:val="00FE538B"/>
    <w:rsid w:val="00FE53F5"/>
    <w:rsid w:val="00FE5AE8"/>
    <w:rsid w:val="00FE6B2F"/>
    <w:rsid w:val="00FE6CFA"/>
    <w:rsid w:val="00FF1DC5"/>
    <w:rsid w:val="00FF3B7B"/>
    <w:rsid w:val="00FF464B"/>
    <w:rsid w:val="00FF7195"/>
    <w:rsid w:val="067DB373"/>
    <w:rsid w:val="06B39AD4"/>
    <w:rsid w:val="07198976"/>
    <w:rsid w:val="0722C36C"/>
    <w:rsid w:val="0C5E0618"/>
    <w:rsid w:val="0E4E56B6"/>
    <w:rsid w:val="0EB08589"/>
    <w:rsid w:val="0F60807D"/>
    <w:rsid w:val="104C55EA"/>
    <w:rsid w:val="18697E6D"/>
    <w:rsid w:val="1A122E11"/>
    <w:rsid w:val="1FFCA5C8"/>
    <w:rsid w:val="293A12B0"/>
    <w:rsid w:val="293D2D12"/>
    <w:rsid w:val="2B065768"/>
    <w:rsid w:val="2E43369A"/>
    <w:rsid w:val="2FE81739"/>
    <w:rsid w:val="317BD50A"/>
    <w:rsid w:val="3267AA77"/>
    <w:rsid w:val="3317A56B"/>
    <w:rsid w:val="35D87389"/>
    <w:rsid w:val="37EB168E"/>
    <w:rsid w:val="3B22B750"/>
    <w:rsid w:val="3CA5C141"/>
    <w:rsid w:val="3CC3E486"/>
    <w:rsid w:val="430D19C5"/>
    <w:rsid w:val="43AFE8B4"/>
    <w:rsid w:val="447AA976"/>
    <w:rsid w:val="448F5C51"/>
    <w:rsid w:val="448FC1C9"/>
    <w:rsid w:val="49F223CF"/>
    <w:rsid w:val="4A3D064A"/>
    <w:rsid w:val="4A7FB7DF"/>
    <w:rsid w:val="4B6A3260"/>
    <w:rsid w:val="4DAF4611"/>
    <w:rsid w:val="50C63763"/>
    <w:rsid w:val="51E2647B"/>
    <w:rsid w:val="55BA57F6"/>
    <w:rsid w:val="565B4498"/>
    <w:rsid w:val="57B53F2F"/>
    <w:rsid w:val="593C368D"/>
    <w:rsid w:val="5F974768"/>
    <w:rsid w:val="691566DD"/>
    <w:rsid w:val="6942645F"/>
    <w:rsid w:val="6A748C97"/>
    <w:rsid w:val="6DA0BB3C"/>
    <w:rsid w:val="6DA0C94E"/>
    <w:rsid w:val="6F164A5D"/>
    <w:rsid w:val="721920B1"/>
    <w:rsid w:val="7418E4E2"/>
    <w:rsid w:val="754777CE"/>
    <w:rsid w:val="78EC5605"/>
    <w:rsid w:val="79B409F8"/>
    <w:rsid w:val="7A882666"/>
    <w:rsid w:val="7BAE0E32"/>
    <w:rsid w:val="7C40E061"/>
    <w:rsid w:val="7CB8F843"/>
    <w:rsid w:val="7D38692A"/>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8B1DD"/>
  <w15:chartTrackingRefBased/>
  <w15:docId w15:val="{AEAFB549-B325-4235-BBE4-86D270454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8"/>
        <w:lang w:val="en-NZ"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3731"/>
    <w:rPr>
      <w:color w:val="0563C1" w:themeColor="hyperlink"/>
      <w:u w:val="single"/>
    </w:rPr>
  </w:style>
  <w:style w:type="character" w:styleId="UnresolvedMention">
    <w:name w:val="Unresolved Mention"/>
    <w:basedOn w:val="DefaultParagraphFont"/>
    <w:uiPriority w:val="99"/>
    <w:semiHidden/>
    <w:unhideWhenUsed/>
    <w:rsid w:val="00153731"/>
    <w:rPr>
      <w:color w:val="605E5C"/>
      <w:shd w:val="clear" w:color="auto" w:fill="E1DFDD"/>
    </w:rPr>
  </w:style>
  <w:style w:type="paragraph" w:styleId="ListParagraph">
    <w:name w:val="List Paragraph"/>
    <w:basedOn w:val="Normal"/>
    <w:uiPriority w:val="34"/>
    <w:qFormat/>
    <w:rsid w:val="00FC0CE4"/>
    <w:pPr>
      <w:ind w:left="720"/>
      <w:contextualSpacing/>
    </w:p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unhideWhenUsed/>
    <w:pPr>
      <w:spacing w:after="0" w:line="240" w:lineRule="auto"/>
    </w:pPr>
    <w:rPr>
      <w:sz w:val="20"/>
      <w:szCs w:val="20"/>
    </w:rPr>
  </w:style>
  <w:style w:type="character" w:styleId="Emphasis">
    <w:name w:val="Emphasis"/>
    <w:basedOn w:val="DefaultParagraphFont"/>
    <w:uiPriority w:val="20"/>
    <w:qFormat/>
    <w:rsid w:val="001477CB"/>
    <w:rPr>
      <w:i/>
      <w:iCs/>
    </w:rPr>
  </w:style>
  <w:style w:type="character" w:styleId="FollowedHyperlink">
    <w:name w:val="FollowedHyperlink"/>
    <w:basedOn w:val="DefaultParagraphFont"/>
    <w:uiPriority w:val="99"/>
    <w:semiHidden/>
    <w:unhideWhenUsed/>
    <w:rsid w:val="0000169B"/>
    <w:rPr>
      <w:color w:val="954F72" w:themeColor="followedHyperlink"/>
      <w:u w:val="single"/>
    </w:rPr>
  </w:style>
  <w:style w:type="paragraph" w:styleId="Header">
    <w:name w:val="header"/>
    <w:basedOn w:val="Normal"/>
    <w:link w:val="HeaderChar"/>
    <w:uiPriority w:val="99"/>
    <w:unhideWhenUsed/>
    <w:rsid w:val="000434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344F"/>
  </w:style>
  <w:style w:type="paragraph" w:styleId="Footer">
    <w:name w:val="footer"/>
    <w:basedOn w:val="Normal"/>
    <w:link w:val="FooterChar"/>
    <w:uiPriority w:val="99"/>
    <w:unhideWhenUsed/>
    <w:rsid w:val="000434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344F"/>
  </w:style>
  <w:style w:type="paragraph" w:styleId="Revision">
    <w:name w:val="Revision"/>
    <w:hidden/>
    <w:uiPriority w:val="99"/>
    <w:semiHidden/>
    <w:rsid w:val="00555F32"/>
    <w:pPr>
      <w:spacing w:after="0" w:line="240" w:lineRule="auto"/>
    </w:pPr>
  </w:style>
  <w:style w:type="character" w:styleId="PageNumber">
    <w:name w:val="page number"/>
    <w:basedOn w:val="DefaultParagraphFont"/>
    <w:uiPriority w:val="99"/>
    <w:semiHidden/>
    <w:unhideWhenUsed/>
    <w:rsid w:val="00E87F7D"/>
  </w:style>
  <w:style w:type="character" w:styleId="CommentReference">
    <w:name w:val="annotation reference"/>
    <w:basedOn w:val="DefaultParagraphFont"/>
    <w:uiPriority w:val="99"/>
    <w:semiHidden/>
    <w:unhideWhenUsed/>
    <w:rsid w:val="00B02B1A"/>
    <w:rPr>
      <w:sz w:val="16"/>
      <w:szCs w:val="16"/>
    </w:rPr>
  </w:style>
  <w:style w:type="paragraph" w:styleId="CommentText">
    <w:name w:val="annotation text"/>
    <w:basedOn w:val="Normal"/>
    <w:link w:val="CommentTextChar"/>
    <w:uiPriority w:val="99"/>
    <w:unhideWhenUsed/>
    <w:rsid w:val="00B02B1A"/>
    <w:pPr>
      <w:spacing w:line="240" w:lineRule="auto"/>
    </w:pPr>
    <w:rPr>
      <w:sz w:val="20"/>
      <w:szCs w:val="25"/>
    </w:rPr>
  </w:style>
  <w:style w:type="character" w:customStyle="1" w:styleId="CommentTextChar">
    <w:name w:val="Comment Text Char"/>
    <w:basedOn w:val="DefaultParagraphFont"/>
    <w:link w:val="CommentText"/>
    <w:uiPriority w:val="99"/>
    <w:rsid w:val="00B02B1A"/>
    <w:rPr>
      <w:sz w:val="20"/>
      <w:szCs w:val="25"/>
    </w:rPr>
  </w:style>
  <w:style w:type="paragraph" w:styleId="CommentSubject">
    <w:name w:val="annotation subject"/>
    <w:basedOn w:val="CommentText"/>
    <w:next w:val="CommentText"/>
    <w:link w:val="CommentSubjectChar"/>
    <w:uiPriority w:val="99"/>
    <w:semiHidden/>
    <w:unhideWhenUsed/>
    <w:rsid w:val="00B02B1A"/>
    <w:rPr>
      <w:b/>
      <w:bCs/>
    </w:rPr>
  </w:style>
  <w:style w:type="character" w:customStyle="1" w:styleId="CommentSubjectChar">
    <w:name w:val="Comment Subject Char"/>
    <w:basedOn w:val="CommentTextChar"/>
    <w:link w:val="CommentSubject"/>
    <w:uiPriority w:val="99"/>
    <w:semiHidden/>
    <w:rsid w:val="00B02B1A"/>
    <w:rPr>
      <w:b/>
      <w:bCs/>
      <w:sz w:val="20"/>
      <w:szCs w:val="25"/>
    </w:rPr>
  </w:style>
  <w:style w:type="paragraph" w:customStyle="1" w:styleId="AbstractindentedLR">
    <w:name w:val="Abstract indented LR"/>
    <w:basedOn w:val="Normal"/>
    <w:qFormat/>
    <w:rsid w:val="00A21C4B"/>
    <w:pPr>
      <w:spacing w:after="0" w:line="300" w:lineRule="exact"/>
      <w:ind w:left="340" w:right="340" w:firstLine="340"/>
      <w:jc w:val="both"/>
    </w:pPr>
    <w:rPr>
      <w:rFonts w:ascii="Times New Roman" w:eastAsia="Times" w:hAnsi="Times New Roman" w:cs="Times New Roman"/>
      <w:i/>
      <w:noProof/>
      <w:szCs w:val="20"/>
      <w:lang w:val="en-AU" w:bidi="ar-SA"/>
    </w:rPr>
  </w:style>
  <w:style w:type="paragraph" w:customStyle="1" w:styleId="AbstractLR">
    <w:name w:val="Abstract LR"/>
    <w:qFormat/>
    <w:rsid w:val="00A21C4B"/>
    <w:pPr>
      <w:spacing w:before="255" w:after="0" w:line="300" w:lineRule="exact"/>
      <w:ind w:left="340" w:right="340"/>
      <w:jc w:val="both"/>
    </w:pPr>
    <w:rPr>
      <w:rFonts w:ascii="Times New Roman" w:eastAsia="Times" w:hAnsi="Times New Roman" w:cs="Times New Roman"/>
      <w:i/>
      <w:noProof/>
      <w:szCs w:val="20"/>
      <w:lang w:val="en-AU" w:bidi="ar-SA"/>
    </w:rPr>
  </w:style>
  <w:style w:type="paragraph" w:customStyle="1" w:styleId="ArticleReviewSpaceb4TitleLR">
    <w:name w:val="Article Review Space b4 Title LR"/>
    <w:qFormat/>
    <w:rsid w:val="00A21C4B"/>
    <w:pPr>
      <w:spacing w:after="0" w:line="240" w:lineRule="auto"/>
      <w:jc w:val="center"/>
    </w:pPr>
    <w:rPr>
      <w:rFonts w:ascii="Times New Roman" w:eastAsia="Times" w:hAnsi="Times New Roman" w:cs="Times New Roman"/>
      <w:noProof/>
      <w:sz w:val="88"/>
      <w:szCs w:val="20"/>
      <w:lang w:val="en-AU" w:bidi="ar-SA"/>
    </w:rPr>
  </w:style>
  <w:style w:type="paragraph" w:customStyle="1" w:styleId="ArticleReviewTitleLR">
    <w:name w:val="Article Review Title LR"/>
    <w:qFormat/>
    <w:rsid w:val="00A21C4B"/>
    <w:pPr>
      <w:spacing w:after="0" w:line="432" w:lineRule="exact"/>
      <w:jc w:val="center"/>
    </w:pPr>
    <w:rPr>
      <w:rFonts w:ascii="Times New Roman" w:eastAsia="Times" w:hAnsi="Times New Roman" w:cs="Times New Roman"/>
      <w:b/>
      <w:i/>
      <w:noProof/>
      <w:sz w:val="36"/>
      <w:szCs w:val="20"/>
      <w:lang w:val="en-AU" w:bidi="ar-SA"/>
    </w:rPr>
  </w:style>
  <w:style w:type="paragraph" w:customStyle="1" w:styleId="AuthorLR">
    <w:name w:val="Author LR"/>
    <w:qFormat/>
    <w:rsid w:val="00A21C4B"/>
    <w:pPr>
      <w:spacing w:before="369" w:after="369" w:line="288" w:lineRule="exact"/>
      <w:jc w:val="center"/>
    </w:pPr>
    <w:rPr>
      <w:rFonts w:ascii="Times New Roman" w:eastAsia="Times" w:hAnsi="Times New Roman" w:cs="Times New Roman"/>
      <w:smallCaps/>
      <w:noProof/>
      <w:sz w:val="24"/>
      <w:szCs w:val="20"/>
      <w:lang w:val="en-AU" w:bidi="ar-SA"/>
    </w:rPr>
  </w:style>
  <w:style w:type="character" w:customStyle="1" w:styleId="FootnotemarkerLR">
    <w:name w:val="Footnote marker LR"/>
    <w:semiHidden/>
    <w:qFormat/>
    <w:rsid w:val="00A21C4B"/>
    <w:rPr>
      <w:rFonts w:ascii="Times New Roman" w:hAnsi="Times New Roman" w:cs="SimSun"/>
      <w:sz w:val="18"/>
      <w:szCs w:val="16"/>
      <w:lang w:eastAsia="en-NZ"/>
    </w:rPr>
  </w:style>
  <w:style w:type="paragraph" w:customStyle="1" w:styleId="FootnotesLR">
    <w:name w:val="Footnotes LR"/>
    <w:next w:val="Normal"/>
    <w:qFormat/>
    <w:rsid w:val="00A21C4B"/>
    <w:pPr>
      <w:spacing w:after="0" w:line="236" w:lineRule="exact"/>
      <w:ind w:left="360" w:hanging="360"/>
      <w:jc w:val="both"/>
    </w:pPr>
    <w:rPr>
      <w:rFonts w:ascii="Times New Roman" w:eastAsia="Times" w:hAnsi="Times New Roman" w:cs="Times New Roman"/>
      <w:noProof/>
      <w:sz w:val="18"/>
      <w:szCs w:val="20"/>
      <w:lang w:val="en-AU" w:bidi="ar-SA"/>
    </w:rPr>
  </w:style>
  <w:style w:type="paragraph" w:customStyle="1" w:styleId="Heading1LR">
    <w:name w:val="Heading 1 LR"/>
    <w:qFormat/>
    <w:rsid w:val="00A21C4B"/>
    <w:pPr>
      <w:spacing w:before="527" w:after="264" w:line="264" w:lineRule="exact"/>
    </w:pPr>
    <w:rPr>
      <w:rFonts w:ascii="Times New Roman" w:eastAsia="Times" w:hAnsi="Times New Roman" w:cs="Times New Roman"/>
      <w:b/>
      <w:noProof/>
      <w:sz w:val="24"/>
      <w:szCs w:val="20"/>
      <w:lang w:val="en-AU" w:bidi="ar-SA"/>
    </w:rPr>
  </w:style>
  <w:style w:type="paragraph" w:customStyle="1" w:styleId="Heading2LR">
    <w:name w:val="Heading 2 LR"/>
    <w:qFormat/>
    <w:rsid w:val="00A21C4B"/>
    <w:pPr>
      <w:spacing w:before="264" w:after="264" w:line="264" w:lineRule="exact"/>
    </w:pPr>
    <w:rPr>
      <w:rFonts w:ascii="Times New Roman" w:eastAsia="Times" w:hAnsi="Times New Roman" w:cs="Times New Roman"/>
      <w:i/>
      <w:noProof/>
      <w:szCs w:val="20"/>
      <w:lang w:val="en-AU" w:bidi="ar-SA"/>
    </w:rPr>
  </w:style>
  <w:style w:type="paragraph" w:customStyle="1" w:styleId="Heading3LR">
    <w:name w:val="Heading 3 LR"/>
    <w:basedOn w:val="Heading2LR"/>
    <w:qFormat/>
    <w:rsid w:val="00A21C4B"/>
    <w:rPr>
      <w:i w:val="0"/>
    </w:rPr>
  </w:style>
  <w:style w:type="paragraph" w:customStyle="1" w:styleId="Heading4LR">
    <w:name w:val="Heading 4 LR"/>
    <w:basedOn w:val="Heading3LR"/>
    <w:qFormat/>
    <w:rsid w:val="00A21C4B"/>
    <w:rPr>
      <w:i/>
    </w:rPr>
  </w:style>
  <w:style w:type="paragraph" w:customStyle="1" w:styleId="QuoteindentedLR">
    <w:name w:val="Quote indented LR"/>
    <w:basedOn w:val="Normal"/>
    <w:qFormat/>
    <w:rsid w:val="00A21C4B"/>
    <w:pPr>
      <w:spacing w:after="0" w:line="264" w:lineRule="exact"/>
      <w:ind w:left="340" w:right="340" w:firstLine="340"/>
      <w:jc w:val="both"/>
    </w:pPr>
    <w:rPr>
      <w:rFonts w:ascii="Times New Roman" w:eastAsia="Times" w:hAnsi="Times New Roman" w:cs="Times New Roman"/>
      <w:noProof/>
      <w:sz w:val="20"/>
      <w:szCs w:val="20"/>
      <w:lang w:val="en-AU" w:bidi="ar-SA"/>
    </w:rPr>
  </w:style>
  <w:style w:type="paragraph" w:customStyle="1" w:styleId="QuoteLR">
    <w:name w:val="Quote LR"/>
    <w:qFormat/>
    <w:rsid w:val="00A21C4B"/>
    <w:pPr>
      <w:spacing w:after="0" w:line="264" w:lineRule="exact"/>
      <w:ind w:left="340" w:right="340"/>
      <w:jc w:val="both"/>
    </w:pPr>
    <w:rPr>
      <w:rFonts w:ascii="Times New Roman" w:eastAsia="Times" w:hAnsi="Times New Roman" w:cs="Times New Roman"/>
      <w:noProof/>
      <w:sz w:val="20"/>
      <w:szCs w:val="20"/>
      <w:lang w:val="en-AU" w:bidi="ar-SA"/>
    </w:rPr>
  </w:style>
  <w:style w:type="paragraph" w:customStyle="1" w:styleId="TextindentedLR">
    <w:name w:val="Text indented LR"/>
    <w:basedOn w:val="Normal"/>
    <w:qFormat/>
    <w:rsid w:val="00A21C4B"/>
    <w:pPr>
      <w:spacing w:after="0" w:line="264" w:lineRule="exact"/>
      <w:ind w:firstLine="340"/>
      <w:jc w:val="both"/>
    </w:pPr>
    <w:rPr>
      <w:rFonts w:ascii="Times New Roman" w:eastAsia="Times" w:hAnsi="Times New Roman" w:cs="Times New Roman"/>
      <w:noProof/>
      <w:szCs w:val="20"/>
      <w:lang w:val="en-AU" w:bidi="ar-SA"/>
    </w:rPr>
  </w:style>
  <w:style w:type="paragraph" w:customStyle="1" w:styleId="TextlistorbulletLR">
    <w:name w:val="Text list or bullet LR"/>
    <w:basedOn w:val="Normal"/>
    <w:qFormat/>
    <w:rsid w:val="00A21C4B"/>
    <w:pPr>
      <w:spacing w:after="0" w:line="264" w:lineRule="exact"/>
      <w:ind w:left="680" w:hanging="340"/>
      <w:jc w:val="both"/>
    </w:pPr>
    <w:rPr>
      <w:rFonts w:ascii="Times New Roman" w:eastAsia="Times" w:hAnsi="Times New Roman" w:cs="Times New Roman"/>
      <w:noProof/>
      <w:szCs w:val="20"/>
      <w:lang w:val="en-AU" w:bidi="ar-SA"/>
    </w:rPr>
  </w:style>
  <w:style w:type="paragraph" w:customStyle="1" w:styleId="TextnoindentLR">
    <w:name w:val="Text no indent LR"/>
    <w:next w:val="TextindentedLR"/>
    <w:qFormat/>
    <w:rsid w:val="00A21C4B"/>
    <w:pPr>
      <w:spacing w:after="0" w:line="264" w:lineRule="exact"/>
      <w:jc w:val="both"/>
    </w:pPr>
    <w:rPr>
      <w:rFonts w:ascii="Times New Roman" w:eastAsia="Times" w:hAnsi="Times New Roman" w:cs="Times New Roman"/>
      <w:noProof/>
      <w:szCs w:val="20"/>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02007">
      <w:bodyDiv w:val="1"/>
      <w:marLeft w:val="0"/>
      <w:marRight w:val="0"/>
      <w:marTop w:val="0"/>
      <w:marBottom w:val="0"/>
      <w:divBdr>
        <w:top w:val="none" w:sz="0" w:space="0" w:color="auto"/>
        <w:left w:val="none" w:sz="0" w:space="0" w:color="auto"/>
        <w:bottom w:val="none" w:sz="0" w:space="0" w:color="auto"/>
        <w:right w:val="none" w:sz="0" w:space="0" w:color="auto"/>
      </w:divBdr>
      <w:divsChild>
        <w:div w:id="613944177">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1571116952">
          <w:marLeft w:val="0"/>
          <w:marRight w:val="0"/>
          <w:marTop w:val="0"/>
          <w:marBottom w:val="0"/>
          <w:divBdr>
            <w:top w:val="none" w:sz="0" w:space="0" w:color="auto"/>
            <w:left w:val="none" w:sz="0" w:space="0" w:color="auto"/>
            <w:bottom w:val="none" w:sz="0" w:space="0" w:color="auto"/>
            <w:right w:val="none" w:sz="0" w:space="0" w:color="auto"/>
          </w:divBdr>
        </w:div>
        <w:div w:id="1997414073">
          <w:marLeft w:val="0"/>
          <w:marRight w:val="0"/>
          <w:marTop w:val="0"/>
          <w:marBottom w:val="0"/>
          <w:divBdr>
            <w:top w:val="none" w:sz="0" w:space="0" w:color="auto"/>
            <w:left w:val="none" w:sz="0" w:space="0" w:color="auto"/>
            <w:bottom w:val="none" w:sz="0" w:space="0" w:color="auto"/>
            <w:right w:val="none" w:sz="0" w:space="0" w:color="auto"/>
          </w:divBdr>
        </w:div>
        <w:div w:id="675232075">
          <w:marLeft w:val="0"/>
          <w:marRight w:val="0"/>
          <w:marTop w:val="0"/>
          <w:marBottom w:val="0"/>
          <w:divBdr>
            <w:top w:val="none" w:sz="0" w:space="0" w:color="auto"/>
            <w:left w:val="none" w:sz="0" w:space="0" w:color="auto"/>
            <w:bottom w:val="none" w:sz="0" w:space="0" w:color="auto"/>
            <w:right w:val="none" w:sz="0" w:space="0" w:color="auto"/>
          </w:divBdr>
        </w:div>
        <w:div w:id="220874652">
          <w:marLeft w:val="0"/>
          <w:marRight w:val="0"/>
          <w:marTop w:val="0"/>
          <w:marBottom w:val="0"/>
          <w:divBdr>
            <w:top w:val="none" w:sz="0" w:space="0" w:color="auto"/>
            <w:left w:val="none" w:sz="0" w:space="0" w:color="auto"/>
            <w:bottom w:val="none" w:sz="0" w:space="0" w:color="auto"/>
            <w:right w:val="none" w:sz="0" w:space="0" w:color="auto"/>
          </w:divBdr>
        </w:div>
        <w:div w:id="1015035472">
          <w:marLeft w:val="0"/>
          <w:marRight w:val="0"/>
          <w:marTop w:val="0"/>
          <w:marBottom w:val="0"/>
          <w:divBdr>
            <w:top w:val="none" w:sz="0" w:space="0" w:color="auto"/>
            <w:left w:val="none" w:sz="0" w:space="0" w:color="auto"/>
            <w:bottom w:val="none" w:sz="0" w:space="0" w:color="auto"/>
            <w:right w:val="none" w:sz="0" w:space="0" w:color="auto"/>
          </w:divBdr>
        </w:div>
        <w:div w:id="951982588">
          <w:marLeft w:val="0"/>
          <w:marRight w:val="0"/>
          <w:marTop w:val="0"/>
          <w:marBottom w:val="0"/>
          <w:divBdr>
            <w:top w:val="none" w:sz="0" w:space="0" w:color="auto"/>
            <w:left w:val="none" w:sz="0" w:space="0" w:color="auto"/>
            <w:bottom w:val="none" w:sz="0" w:space="0" w:color="auto"/>
            <w:right w:val="none" w:sz="0" w:space="0" w:color="auto"/>
          </w:divBdr>
        </w:div>
        <w:div w:id="1747914706">
          <w:marLeft w:val="0"/>
          <w:marRight w:val="0"/>
          <w:marTop w:val="0"/>
          <w:marBottom w:val="0"/>
          <w:divBdr>
            <w:top w:val="none" w:sz="0" w:space="0" w:color="auto"/>
            <w:left w:val="none" w:sz="0" w:space="0" w:color="auto"/>
            <w:bottom w:val="none" w:sz="0" w:space="0" w:color="auto"/>
            <w:right w:val="none" w:sz="0" w:space="0" w:color="auto"/>
          </w:divBdr>
        </w:div>
        <w:div w:id="77558111">
          <w:marLeft w:val="0"/>
          <w:marRight w:val="0"/>
          <w:marTop w:val="0"/>
          <w:marBottom w:val="0"/>
          <w:divBdr>
            <w:top w:val="none" w:sz="0" w:space="0" w:color="auto"/>
            <w:left w:val="none" w:sz="0" w:space="0" w:color="auto"/>
            <w:bottom w:val="none" w:sz="0" w:space="0" w:color="auto"/>
            <w:right w:val="none" w:sz="0" w:space="0" w:color="auto"/>
          </w:divBdr>
        </w:div>
        <w:div w:id="2102679429">
          <w:marLeft w:val="0"/>
          <w:marRight w:val="0"/>
          <w:marTop w:val="0"/>
          <w:marBottom w:val="0"/>
          <w:divBdr>
            <w:top w:val="none" w:sz="0" w:space="0" w:color="auto"/>
            <w:left w:val="none" w:sz="0" w:space="0" w:color="auto"/>
            <w:bottom w:val="none" w:sz="0" w:space="0" w:color="auto"/>
            <w:right w:val="none" w:sz="0" w:space="0" w:color="auto"/>
          </w:divBdr>
        </w:div>
        <w:div w:id="649092903">
          <w:marLeft w:val="0"/>
          <w:marRight w:val="0"/>
          <w:marTop w:val="0"/>
          <w:marBottom w:val="0"/>
          <w:divBdr>
            <w:top w:val="none" w:sz="0" w:space="0" w:color="auto"/>
            <w:left w:val="none" w:sz="0" w:space="0" w:color="auto"/>
            <w:bottom w:val="none" w:sz="0" w:space="0" w:color="auto"/>
            <w:right w:val="none" w:sz="0" w:space="0" w:color="auto"/>
          </w:divBdr>
        </w:div>
      </w:divsChild>
    </w:div>
    <w:div w:id="167450200">
      <w:bodyDiv w:val="1"/>
      <w:marLeft w:val="0"/>
      <w:marRight w:val="0"/>
      <w:marTop w:val="0"/>
      <w:marBottom w:val="0"/>
      <w:divBdr>
        <w:top w:val="none" w:sz="0" w:space="0" w:color="auto"/>
        <w:left w:val="none" w:sz="0" w:space="0" w:color="auto"/>
        <w:bottom w:val="none" w:sz="0" w:space="0" w:color="auto"/>
        <w:right w:val="none" w:sz="0" w:space="0" w:color="auto"/>
      </w:divBdr>
    </w:div>
    <w:div w:id="543559813">
      <w:bodyDiv w:val="1"/>
      <w:marLeft w:val="0"/>
      <w:marRight w:val="0"/>
      <w:marTop w:val="0"/>
      <w:marBottom w:val="0"/>
      <w:divBdr>
        <w:top w:val="none" w:sz="0" w:space="0" w:color="auto"/>
        <w:left w:val="none" w:sz="0" w:space="0" w:color="auto"/>
        <w:bottom w:val="none" w:sz="0" w:space="0" w:color="auto"/>
        <w:right w:val="none" w:sz="0" w:space="0" w:color="auto"/>
      </w:divBdr>
      <w:divsChild>
        <w:div w:id="1298292851">
          <w:marLeft w:val="0"/>
          <w:marRight w:val="0"/>
          <w:marTop w:val="0"/>
          <w:marBottom w:val="0"/>
          <w:divBdr>
            <w:top w:val="none" w:sz="0" w:space="0" w:color="auto"/>
            <w:left w:val="none" w:sz="0" w:space="0" w:color="auto"/>
            <w:bottom w:val="none" w:sz="0" w:space="0" w:color="auto"/>
            <w:right w:val="none" w:sz="0" w:space="0" w:color="auto"/>
          </w:divBdr>
        </w:div>
        <w:div w:id="898132209">
          <w:marLeft w:val="0"/>
          <w:marRight w:val="0"/>
          <w:marTop w:val="0"/>
          <w:marBottom w:val="0"/>
          <w:divBdr>
            <w:top w:val="none" w:sz="0" w:space="0" w:color="auto"/>
            <w:left w:val="none" w:sz="0" w:space="0" w:color="auto"/>
            <w:bottom w:val="none" w:sz="0" w:space="0" w:color="auto"/>
            <w:right w:val="none" w:sz="0" w:space="0" w:color="auto"/>
          </w:divBdr>
        </w:div>
        <w:div w:id="532574523">
          <w:marLeft w:val="0"/>
          <w:marRight w:val="0"/>
          <w:marTop w:val="0"/>
          <w:marBottom w:val="0"/>
          <w:divBdr>
            <w:top w:val="none" w:sz="0" w:space="0" w:color="auto"/>
            <w:left w:val="none" w:sz="0" w:space="0" w:color="auto"/>
            <w:bottom w:val="none" w:sz="0" w:space="0" w:color="auto"/>
            <w:right w:val="none" w:sz="0" w:space="0" w:color="auto"/>
          </w:divBdr>
        </w:div>
        <w:div w:id="426586868">
          <w:marLeft w:val="0"/>
          <w:marRight w:val="0"/>
          <w:marTop w:val="0"/>
          <w:marBottom w:val="0"/>
          <w:divBdr>
            <w:top w:val="none" w:sz="0" w:space="0" w:color="auto"/>
            <w:left w:val="none" w:sz="0" w:space="0" w:color="auto"/>
            <w:bottom w:val="none" w:sz="0" w:space="0" w:color="auto"/>
            <w:right w:val="none" w:sz="0" w:space="0" w:color="auto"/>
          </w:divBdr>
        </w:div>
        <w:div w:id="1350912355">
          <w:marLeft w:val="0"/>
          <w:marRight w:val="0"/>
          <w:marTop w:val="0"/>
          <w:marBottom w:val="0"/>
          <w:divBdr>
            <w:top w:val="none" w:sz="0" w:space="0" w:color="auto"/>
            <w:left w:val="none" w:sz="0" w:space="0" w:color="auto"/>
            <w:bottom w:val="none" w:sz="0" w:space="0" w:color="auto"/>
            <w:right w:val="none" w:sz="0" w:space="0" w:color="auto"/>
          </w:divBdr>
        </w:div>
        <w:div w:id="1848134468">
          <w:marLeft w:val="0"/>
          <w:marRight w:val="0"/>
          <w:marTop w:val="0"/>
          <w:marBottom w:val="0"/>
          <w:divBdr>
            <w:top w:val="none" w:sz="0" w:space="0" w:color="auto"/>
            <w:left w:val="none" w:sz="0" w:space="0" w:color="auto"/>
            <w:bottom w:val="none" w:sz="0" w:space="0" w:color="auto"/>
            <w:right w:val="none" w:sz="0" w:space="0" w:color="auto"/>
          </w:divBdr>
        </w:div>
        <w:div w:id="505553749">
          <w:marLeft w:val="0"/>
          <w:marRight w:val="0"/>
          <w:marTop w:val="0"/>
          <w:marBottom w:val="0"/>
          <w:divBdr>
            <w:top w:val="none" w:sz="0" w:space="0" w:color="auto"/>
            <w:left w:val="none" w:sz="0" w:space="0" w:color="auto"/>
            <w:bottom w:val="none" w:sz="0" w:space="0" w:color="auto"/>
            <w:right w:val="none" w:sz="0" w:space="0" w:color="auto"/>
          </w:divBdr>
        </w:div>
        <w:div w:id="252663594">
          <w:marLeft w:val="0"/>
          <w:marRight w:val="0"/>
          <w:marTop w:val="0"/>
          <w:marBottom w:val="0"/>
          <w:divBdr>
            <w:top w:val="none" w:sz="0" w:space="0" w:color="auto"/>
            <w:left w:val="none" w:sz="0" w:space="0" w:color="auto"/>
            <w:bottom w:val="none" w:sz="0" w:space="0" w:color="auto"/>
            <w:right w:val="none" w:sz="0" w:space="0" w:color="auto"/>
          </w:divBdr>
        </w:div>
        <w:div w:id="324552616">
          <w:marLeft w:val="0"/>
          <w:marRight w:val="0"/>
          <w:marTop w:val="0"/>
          <w:marBottom w:val="0"/>
          <w:divBdr>
            <w:top w:val="none" w:sz="0" w:space="0" w:color="auto"/>
            <w:left w:val="none" w:sz="0" w:space="0" w:color="auto"/>
            <w:bottom w:val="none" w:sz="0" w:space="0" w:color="auto"/>
            <w:right w:val="none" w:sz="0" w:space="0" w:color="auto"/>
          </w:divBdr>
        </w:div>
        <w:div w:id="139346960">
          <w:marLeft w:val="0"/>
          <w:marRight w:val="0"/>
          <w:marTop w:val="0"/>
          <w:marBottom w:val="0"/>
          <w:divBdr>
            <w:top w:val="none" w:sz="0" w:space="0" w:color="auto"/>
            <w:left w:val="none" w:sz="0" w:space="0" w:color="auto"/>
            <w:bottom w:val="none" w:sz="0" w:space="0" w:color="auto"/>
            <w:right w:val="none" w:sz="0" w:space="0" w:color="auto"/>
          </w:divBdr>
        </w:div>
        <w:div w:id="651174371">
          <w:marLeft w:val="0"/>
          <w:marRight w:val="0"/>
          <w:marTop w:val="0"/>
          <w:marBottom w:val="0"/>
          <w:divBdr>
            <w:top w:val="none" w:sz="0" w:space="0" w:color="auto"/>
            <w:left w:val="none" w:sz="0" w:space="0" w:color="auto"/>
            <w:bottom w:val="none" w:sz="0" w:space="0" w:color="auto"/>
            <w:right w:val="none" w:sz="0" w:space="0" w:color="auto"/>
          </w:divBdr>
        </w:div>
        <w:div w:id="427433094">
          <w:marLeft w:val="0"/>
          <w:marRight w:val="0"/>
          <w:marTop w:val="0"/>
          <w:marBottom w:val="0"/>
          <w:divBdr>
            <w:top w:val="none" w:sz="0" w:space="0" w:color="auto"/>
            <w:left w:val="none" w:sz="0" w:space="0" w:color="auto"/>
            <w:bottom w:val="none" w:sz="0" w:space="0" w:color="auto"/>
            <w:right w:val="none" w:sz="0" w:space="0" w:color="auto"/>
          </w:divBdr>
        </w:div>
        <w:div w:id="1577978848">
          <w:marLeft w:val="0"/>
          <w:marRight w:val="0"/>
          <w:marTop w:val="0"/>
          <w:marBottom w:val="0"/>
          <w:divBdr>
            <w:top w:val="none" w:sz="0" w:space="0" w:color="auto"/>
            <w:left w:val="none" w:sz="0" w:space="0" w:color="auto"/>
            <w:bottom w:val="none" w:sz="0" w:space="0" w:color="auto"/>
            <w:right w:val="none" w:sz="0" w:space="0" w:color="auto"/>
          </w:divBdr>
        </w:div>
        <w:div w:id="347492792">
          <w:marLeft w:val="0"/>
          <w:marRight w:val="0"/>
          <w:marTop w:val="0"/>
          <w:marBottom w:val="0"/>
          <w:divBdr>
            <w:top w:val="none" w:sz="0" w:space="0" w:color="auto"/>
            <w:left w:val="none" w:sz="0" w:space="0" w:color="auto"/>
            <w:bottom w:val="none" w:sz="0" w:space="0" w:color="auto"/>
            <w:right w:val="none" w:sz="0" w:space="0" w:color="auto"/>
          </w:divBdr>
        </w:div>
        <w:div w:id="464858930">
          <w:marLeft w:val="0"/>
          <w:marRight w:val="0"/>
          <w:marTop w:val="0"/>
          <w:marBottom w:val="0"/>
          <w:divBdr>
            <w:top w:val="none" w:sz="0" w:space="0" w:color="auto"/>
            <w:left w:val="none" w:sz="0" w:space="0" w:color="auto"/>
            <w:bottom w:val="none" w:sz="0" w:space="0" w:color="auto"/>
            <w:right w:val="none" w:sz="0" w:space="0" w:color="auto"/>
          </w:divBdr>
        </w:div>
        <w:div w:id="370882623">
          <w:marLeft w:val="0"/>
          <w:marRight w:val="0"/>
          <w:marTop w:val="0"/>
          <w:marBottom w:val="0"/>
          <w:divBdr>
            <w:top w:val="none" w:sz="0" w:space="0" w:color="auto"/>
            <w:left w:val="none" w:sz="0" w:space="0" w:color="auto"/>
            <w:bottom w:val="none" w:sz="0" w:space="0" w:color="auto"/>
            <w:right w:val="none" w:sz="0" w:space="0" w:color="auto"/>
          </w:divBdr>
        </w:div>
        <w:div w:id="1756511276">
          <w:marLeft w:val="0"/>
          <w:marRight w:val="0"/>
          <w:marTop w:val="0"/>
          <w:marBottom w:val="0"/>
          <w:divBdr>
            <w:top w:val="none" w:sz="0" w:space="0" w:color="auto"/>
            <w:left w:val="none" w:sz="0" w:space="0" w:color="auto"/>
            <w:bottom w:val="none" w:sz="0" w:space="0" w:color="auto"/>
            <w:right w:val="none" w:sz="0" w:space="0" w:color="auto"/>
          </w:divBdr>
        </w:div>
        <w:div w:id="209273461">
          <w:marLeft w:val="0"/>
          <w:marRight w:val="0"/>
          <w:marTop w:val="0"/>
          <w:marBottom w:val="0"/>
          <w:divBdr>
            <w:top w:val="none" w:sz="0" w:space="0" w:color="auto"/>
            <w:left w:val="none" w:sz="0" w:space="0" w:color="auto"/>
            <w:bottom w:val="none" w:sz="0" w:space="0" w:color="auto"/>
            <w:right w:val="none" w:sz="0" w:space="0" w:color="auto"/>
          </w:divBdr>
        </w:div>
      </w:divsChild>
    </w:div>
    <w:div w:id="937563202">
      <w:bodyDiv w:val="1"/>
      <w:marLeft w:val="0"/>
      <w:marRight w:val="0"/>
      <w:marTop w:val="0"/>
      <w:marBottom w:val="0"/>
      <w:divBdr>
        <w:top w:val="none" w:sz="0" w:space="0" w:color="auto"/>
        <w:left w:val="none" w:sz="0" w:space="0" w:color="auto"/>
        <w:bottom w:val="none" w:sz="0" w:space="0" w:color="auto"/>
        <w:right w:val="none" w:sz="0" w:space="0" w:color="auto"/>
      </w:divBdr>
    </w:div>
    <w:div w:id="1055735365">
      <w:bodyDiv w:val="1"/>
      <w:marLeft w:val="0"/>
      <w:marRight w:val="0"/>
      <w:marTop w:val="0"/>
      <w:marBottom w:val="0"/>
      <w:divBdr>
        <w:top w:val="none" w:sz="0" w:space="0" w:color="auto"/>
        <w:left w:val="none" w:sz="0" w:space="0" w:color="auto"/>
        <w:bottom w:val="none" w:sz="0" w:space="0" w:color="auto"/>
        <w:right w:val="none" w:sz="0" w:space="0" w:color="auto"/>
      </w:divBdr>
    </w:div>
    <w:div w:id="1138306804">
      <w:bodyDiv w:val="1"/>
      <w:marLeft w:val="0"/>
      <w:marRight w:val="0"/>
      <w:marTop w:val="0"/>
      <w:marBottom w:val="0"/>
      <w:divBdr>
        <w:top w:val="none" w:sz="0" w:space="0" w:color="auto"/>
        <w:left w:val="none" w:sz="0" w:space="0" w:color="auto"/>
        <w:bottom w:val="none" w:sz="0" w:space="0" w:color="auto"/>
        <w:right w:val="none" w:sz="0" w:space="0" w:color="auto"/>
      </w:divBdr>
      <w:divsChild>
        <w:div w:id="1975864330">
          <w:marLeft w:val="0"/>
          <w:marRight w:val="0"/>
          <w:marTop w:val="0"/>
          <w:marBottom w:val="0"/>
          <w:divBdr>
            <w:top w:val="none" w:sz="0" w:space="0" w:color="auto"/>
            <w:left w:val="none" w:sz="0" w:space="0" w:color="auto"/>
            <w:bottom w:val="none" w:sz="0" w:space="0" w:color="auto"/>
            <w:right w:val="none" w:sz="0" w:space="0" w:color="auto"/>
          </w:divBdr>
          <w:divsChild>
            <w:div w:id="1780487536">
              <w:marLeft w:val="0"/>
              <w:marRight w:val="0"/>
              <w:marTop w:val="0"/>
              <w:marBottom w:val="0"/>
              <w:divBdr>
                <w:top w:val="none" w:sz="0" w:space="0" w:color="auto"/>
                <w:left w:val="none" w:sz="0" w:space="0" w:color="auto"/>
                <w:bottom w:val="none" w:sz="0" w:space="0" w:color="auto"/>
                <w:right w:val="none" w:sz="0" w:space="0" w:color="auto"/>
              </w:divBdr>
              <w:divsChild>
                <w:div w:id="156175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450907">
      <w:bodyDiv w:val="1"/>
      <w:marLeft w:val="0"/>
      <w:marRight w:val="0"/>
      <w:marTop w:val="0"/>
      <w:marBottom w:val="0"/>
      <w:divBdr>
        <w:top w:val="none" w:sz="0" w:space="0" w:color="auto"/>
        <w:left w:val="none" w:sz="0" w:space="0" w:color="auto"/>
        <w:bottom w:val="none" w:sz="0" w:space="0" w:color="auto"/>
        <w:right w:val="none" w:sz="0" w:space="0" w:color="auto"/>
      </w:divBdr>
    </w:div>
    <w:div w:id="1338651602">
      <w:bodyDiv w:val="1"/>
      <w:marLeft w:val="0"/>
      <w:marRight w:val="0"/>
      <w:marTop w:val="0"/>
      <w:marBottom w:val="0"/>
      <w:divBdr>
        <w:top w:val="none" w:sz="0" w:space="0" w:color="auto"/>
        <w:left w:val="none" w:sz="0" w:space="0" w:color="auto"/>
        <w:bottom w:val="none" w:sz="0" w:space="0" w:color="auto"/>
        <w:right w:val="none" w:sz="0" w:space="0" w:color="auto"/>
      </w:divBdr>
      <w:divsChild>
        <w:div w:id="915824303">
          <w:marLeft w:val="0"/>
          <w:marRight w:val="0"/>
          <w:marTop w:val="0"/>
          <w:marBottom w:val="0"/>
          <w:divBdr>
            <w:top w:val="none" w:sz="0" w:space="0" w:color="auto"/>
            <w:left w:val="none" w:sz="0" w:space="0" w:color="auto"/>
            <w:bottom w:val="none" w:sz="0" w:space="0" w:color="auto"/>
            <w:right w:val="none" w:sz="0" w:space="0" w:color="auto"/>
          </w:divBdr>
        </w:div>
        <w:div w:id="1923563189">
          <w:marLeft w:val="0"/>
          <w:marRight w:val="0"/>
          <w:marTop w:val="0"/>
          <w:marBottom w:val="0"/>
          <w:divBdr>
            <w:top w:val="none" w:sz="0" w:space="0" w:color="auto"/>
            <w:left w:val="none" w:sz="0" w:space="0" w:color="auto"/>
            <w:bottom w:val="none" w:sz="0" w:space="0" w:color="auto"/>
            <w:right w:val="none" w:sz="0" w:space="0" w:color="auto"/>
          </w:divBdr>
        </w:div>
        <w:div w:id="1055204205">
          <w:marLeft w:val="0"/>
          <w:marRight w:val="0"/>
          <w:marTop w:val="0"/>
          <w:marBottom w:val="0"/>
          <w:divBdr>
            <w:top w:val="none" w:sz="0" w:space="0" w:color="auto"/>
            <w:left w:val="none" w:sz="0" w:space="0" w:color="auto"/>
            <w:bottom w:val="none" w:sz="0" w:space="0" w:color="auto"/>
            <w:right w:val="none" w:sz="0" w:space="0" w:color="auto"/>
          </w:divBdr>
        </w:div>
        <w:div w:id="608394053">
          <w:marLeft w:val="0"/>
          <w:marRight w:val="0"/>
          <w:marTop w:val="0"/>
          <w:marBottom w:val="0"/>
          <w:divBdr>
            <w:top w:val="none" w:sz="0" w:space="0" w:color="auto"/>
            <w:left w:val="none" w:sz="0" w:space="0" w:color="auto"/>
            <w:bottom w:val="none" w:sz="0" w:space="0" w:color="auto"/>
            <w:right w:val="none" w:sz="0" w:space="0" w:color="auto"/>
          </w:divBdr>
        </w:div>
        <w:div w:id="2022390281">
          <w:marLeft w:val="0"/>
          <w:marRight w:val="0"/>
          <w:marTop w:val="0"/>
          <w:marBottom w:val="0"/>
          <w:divBdr>
            <w:top w:val="none" w:sz="0" w:space="0" w:color="auto"/>
            <w:left w:val="none" w:sz="0" w:space="0" w:color="auto"/>
            <w:bottom w:val="none" w:sz="0" w:space="0" w:color="auto"/>
            <w:right w:val="none" w:sz="0" w:space="0" w:color="auto"/>
          </w:divBdr>
        </w:div>
        <w:div w:id="42339588">
          <w:marLeft w:val="0"/>
          <w:marRight w:val="0"/>
          <w:marTop w:val="0"/>
          <w:marBottom w:val="0"/>
          <w:divBdr>
            <w:top w:val="none" w:sz="0" w:space="0" w:color="auto"/>
            <w:left w:val="none" w:sz="0" w:space="0" w:color="auto"/>
            <w:bottom w:val="none" w:sz="0" w:space="0" w:color="auto"/>
            <w:right w:val="none" w:sz="0" w:space="0" w:color="auto"/>
          </w:divBdr>
        </w:div>
        <w:div w:id="1317686733">
          <w:marLeft w:val="0"/>
          <w:marRight w:val="0"/>
          <w:marTop w:val="0"/>
          <w:marBottom w:val="0"/>
          <w:divBdr>
            <w:top w:val="none" w:sz="0" w:space="0" w:color="auto"/>
            <w:left w:val="none" w:sz="0" w:space="0" w:color="auto"/>
            <w:bottom w:val="none" w:sz="0" w:space="0" w:color="auto"/>
            <w:right w:val="none" w:sz="0" w:space="0" w:color="auto"/>
          </w:divBdr>
        </w:div>
        <w:div w:id="1168133606">
          <w:marLeft w:val="0"/>
          <w:marRight w:val="0"/>
          <w:marTop w:val="0"/>
          <w:marBottom w:val="0"/>
          <w:divBdr>
            <w:top w:val="none" w:sz="0" w:space="0" w:color="auto"/>
            <w:left w:val="none" w:sz="0" w:space="0" w:color="auto"/>
            <w:bottom w:val="none" w:sz="0" w:space="0" w:color="auto"/>
            <w:right w:val="none" w:sz="0" w:space="0" w:color="auto"/>
          </w:divBdr>
        </w:div>
        <w:div w:id="554048284">
          <w:marLeft w:val="0"/>
          <w:marRight w:val="0"/>
          <w:marTop w:val="0"/>
          <w:marBottom w:val="0"/>
          <w:divBdr>
            <w:top w:val="none" w:sz="0" w:space="0" w:color="auto"/>
            <w:left w:val="none" w:sz="0" w:space="0" w:color="auto"/>
            <w:bottom w:val="none" w:sz="0" w:space="0" w:color="auto"/>
            <w:right w:val="none" w:sz="0" w:space="0" w:color="auto"/>
          </w:divBdr>
        </w:div>
        <w:div w:id="509683299">
          <w:marLeft w:val="0"/>
          <w:marRight w:val="0"/>
          <w:marTop w:val="0"/>
          <w:marBottom w:val="0"/>
          <w:divBdr>
            <w:top w:val="none" w:sz="0" w:space="0" w:color="auto"/>
            <w:left w:val="none" w:sz="0" w:space="0" w:color="auto"/>
            <w:bottom w:val="none" w:sz="0" w:space="0" w:color="auto"/>
            <w:right w:val="none" w:sz="0" w:space="0" w:color="auto"/>
          </w:divBdr>
        </w:div>
        <w:div w:id="879785947">
          <w:marLeft w:val="0"/>
          <w:marRight w:val="0"/>
          <w:marTop w:val="0"/>
          <w:marBottom w:val="0"/>
          <w:divBdr>
            <w:top w:val="none" w:sz="0" w:space="0" w:color="auto"/>
            <w:left w:val="none" w:sz="0" w:space="0" w:color="auto"/>
            <w:bottom w:val="none" w:sz="0" w:space="0" w:color="auto"/>
            <w:right w:val="none" w:sz="0" w:space="0" w:color="auto"/>
          </w:divBdr>
        </w:div>
        <w:div w:id="869344270">
          <w:marLeft w:val="0"/>
          <w:marRight w:val="0"/>
          <w:marTop w:val="0"/>
          <w:marBottom w:val="0"/>
          <w:divBdr>
            <w:top w:val="none" w:sz="0" w:space="0" w:color="auto"/>
            <w:left w:val="none" w:sz="0" w:space="0" w:color="auto"/>
            <w:bottom w:val="none" w:sz="0" w:space="0" w:color="auto"/>
            <w:right w:val="none" w:sz="0" w:space="0" w:color="auto"/>
          </w:divBdr>
        </w:div>
        <w:div w:id="785540159">
          <w:marLeft w:val="0"/>
          <w:marRight w:val="0"/>
          <w:marTop w:val="0"/>
          <w:marBottom w:val="0"/>
          <w:divBdr>
            <w:top w:val="none" w:sz="0" w:space="0" w:color="auto"/>
            <w:left w:val="none" w:sz="0" w:space="0" w:color="auto"/>
            <w:bottom w:val="none" w:sz="0" w:space="0" w:color="auto"/>
            <w:right w:val="none" w:sz="0" w:space="0" w:color="auto"/>
          </w:divBdr>
        </w:div>
        <w:div w:id="2061896381">
          <w:marLeft w:val="0"/>
          <w:marRight w:val="0"/>
          <w:marTop w:val="0"/>
          <w:marBottom w:val="0"/>
          <w:divBdr>
            <w:top w:val="none" w:sz="0" w:space="0" w:color="auto"/>
            <w:left w:val="none" w:sz="0" w:space="0" w:color="auto"/>
            <w:bottom w:val="none" w:sz="0" w:space="0" w:color="auto"/>
            <w:right w:val="none" w:sz="0" w:space="0" w:color="auto"/>
          </w:divBdr>
        </w:div>
        <w:div w:id="233050922">
          <w:marLeft w:val="0"/>
          <w:marRight w:val="0"/>
          <w:marTop w:val="0"/>
          <w:marBottom w:val="0"/>
          <w:divBdr>
            <w:top w:val="none" w:sz="0" w:space="0" w:color="auto"/>
            <w:left w:val="none" w:sz="0" w:space="0" w:color="auto"/>
            <w:bottom w:val="none" w:sz="0" w:space="0" w:color="auto"/>
            <w:right w:val="none" w:sz="0" w:space="0" w:color="auto"/>
          </w:divBdr>
        </w:div>
        <w:div w:id="1076511787">
          <w:marLeft w:val="0"/>
          <w:marRight w:val="0"/>
          <w:marTop w:val="0"/>
          <w:marBottom w:val="0"/>
          <w:divBdr>
            <w:top w:val="none" w:sz="0" w:space="0" w:color="auto"/>
            <w:left w:val="none" w:sz="0" w:space="0" w:color="auto"/>
            <w:bottom w:val="none" w:sz="0" w:space="0" w:color="auto"/>
            <w:right w:val="none" w:sz="0" w:space="0" w:color="auto"/>
          </w:divBdr>
          <w:divsChild>
            <w:div w:id="984309681">
              <w:marLeft w:val="0"/>
              <w:marRight w:val="0"/>
              <w:marTop w:val="0"/>
              <w:marBottom w:val="0"/>
              <w:divBdr>
                <w:top w:val="none" w:sz="0" w:space="0" w:color="auto"/>
                <w:left w:val="none" w:sz="0" w:space="0" w:color="auto"/>
                <w:bottom w:val="none" w:sz="0" w:space="0" w:color="auto"/>
                <w:right w:val="none" w:sz="0" w:space="0" w:color="auto"/>
              </w:divBdr>
            </w:div>
            <w:div w:id="91829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47591">
      <w:bodyDiv w:val="1"/>
      <w:marLeft w:val="0"/>
      <w:marRight w:val="0"/>
      <w:marTop w:val="0"/>
      <w:marBottom w:val="0"/>
      <w:divBdr>
        <w:top w:val="none" w:sz="0" w:space="0" w:color="auto"/>
        <w:left w:val="none" w:sz="0" w:space="0" w:color="auto"/>
        <w:bottom w:val="none" w:sz="0" w:space="0" w:color="auto"/>
        <w:right w:val="none" w:sz="0" w:space="0" w:color="auto"/>
      </w:divBdr>
    </w:div>
    <w:div w:id="1538733716">
      <w:bodyDiv w:val="1"/>
      <w:marLeft w:val="0"/>
      <w:marRight w:val="0"/>
      <w:marTop w:val="0"/>
      <w:marBottom w:val="0"/>
      <w:divBdr>
        <w:top w:val="none" w:sz="0" w:space="0" w:color="auto"/>
        <w:left w:val="none" w:sz="0" w:space="0" w:color="auto"/>
        <w:bottom w:val="none" w:sz="0" w:space="0" w:color="auto"/>
        <w:right w:val="none" w:sz="0" w:space="0" w:color="auto"/>
      </w:divBdr>
    </w:div>
    <w:div w:id="1624726833">
      <w:bodyDiv w:val="1"/>
      <w:marLeft w:val="0"/>
      <w:marRight w:val="0"/>
      <w:marTop w:val="0"/>
      <w:marBottom w:val="0"/>
      <w:divBdr>
        <w:top w:val="none" w:sz="0" w:space="0" w:color="auto"/>
        <w:left w:val="none" w:sz="0" w:space="0" w:color="auto"/>
        <w:bottom w:val="none" w:sz="0" w:space="0" w:color="auto"/>
        <w:right w:val="none" w:sz="0" w:space="0" w:color="auto"/>
      </w:divBdr>
    </w:div>
    <w:div w:id="1697076143">
      <w:bodyDiv w:val="1"/>
      <w:marLeft w:val="0"/>
      <w:marRight w:val="0"/>
      <w:marTop w:val="0"/>
      <w:marBottom w:val="0"/>
      <w:divBdr>
        <w:top w:val="none" w:sz="0" w:space="0" w:color="auto"/>
        <w:left w:val="none" w:sz="0" w:space="0" w:color="auto"/>
        <w:bottom w:val="none" w:sz="0" w:space="0" w:color="auto"/>
        <w:right w:val="none" w:sz="0" w:space="0" w:color="auto"/>
      </w:divBdr>
    </w:div>
    <w:div w:id="1963031257">
      <w:bodyDiv w:val="1"/>
      <w:marLeft w:val="0"/>
      <w:marRight w:val="0"/>
      <w:marTop w:val="0"/>
      <w:marBottom w:val="0"/>
      <w:divBdr>
        <w:top w:val="none" w:sz="0" w:space="0" w:color="auto"/>
        <w:left w:val="none" w:sz="0" w:space="0" w:color="auto"/>
        <w:bottom w:val="none" w:sz="0" w:space="0" w:color="auto"/>
        <w:right w:val="none" w:sz="0" w:space="0" w:color="auto"/>
      </w:divBdr>
    </w:div>
    <w:div w:id="2083529264">
      <w:bodyDiv w:val="1"/>
      <w:marLeft w:val="0"/>
      <w:marRight w:val="0"/>
      <w:marTop w:val="0"/>
      <w:marBottom w:val="0"/>
      <w:divBdr>
        <w:top w:val="none" w:sz="0" w:space="0" w:color="auto"/>
        <w:left w:val="none" w:sz="0" w:space="0" w:color="auto"/>
        <w:bottom w:val="none" w:sz="0" w:space="0" w:color="auto"/>
        <w:right w:val="none" w:sz="0" w:space="0" w:color="auto"/>
      </w:divBdr>
    </w:div>
    <w:div w:id="210942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ldac.org.nz/guidelines/legislation-guidelines-2021-edition/issues-relevant-to-all-legislation-2/chapter-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3787C-BD7C-4D40-8695-307C7E2B1B4A}">
  <ds:schemaRefs>
    <ds:schemaRef ds:uri="http://schemas.openxmlformats.org/officeDocument/2006/bibliography"/>
  </ds:schemaRefs>
</ds:datastoreItem>
</file>

<file path=docMetadata/LabelInfo.xml><?xml version="1.0" encoding="utf-8"?>
<clbl:labelList xmlns:clbl="http://schemas.microsoft.com/office/2020/mipLabelMetadata">
  <clbl:label id="{d1b36e95-0d50-42e9-958f-b63fa906beaa}" enabled="0" method="" siteId="{d1b36e95-0d50-42e9-958f-b63fa906beaa}" removed="1"/>
</clbl:labelList>
</file>

<file path=docProps/app.xml><?xml version="1.0" encoding="utf-8"?>
<Properties xmlns="http://schemas.openxmlformats.org/officeDocument/2006/extended-properties" xmlns:vt="http://schemas.openxmlformats.org/officeDocument/2006/docPropsVTypes">
  <Template>Normal.dotm</Template>
  <TotalTime>276</TotalTime>
  <Pages>18</Pages>
  <Words>8741</Words>
  <Characters>49827</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Hamlin</dc:creator>
  <cp:keywords/>
  <dc:description/>
  <cp:lastModifiedBy>Ben Hamlin</cp:lastModifiedBy>
  <cp:revision>116</cp:revision>
  <cp:lastPrinted>2023-08-08T22:28:00Z</cp:lastPrinted>
  <dcterms:created xsi:type="dcterms:W3CDTF">2024-06-18T22:01:00Z</dcterms:created>
  <dcterms:modified xsi:type="dcterms:W3CDTF">2024-08-01T02:36:00Z</dcterms:modified>
</cp:coreProperties>
</file>